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86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7"/>
        <w:gridCol w:w="1738"/>
        <w:gridCol w:w="952"/>
        <w:gridCol w:w="394"/>
        <w:gridCol w:w="844"/>
        <w:gridCol w:w="1614"/>
        <w:gridCol w:w="398"/>
        <w:gridCol w:w="303"/>
        <w:gridCol w:w="264"/>
        <w:gridCol w:w="999"/>
        <w:gridCol w:w="1463"/>
      </w:tblGrid>
      <w:tr w:rsidR="004E460A" w:rsidRPr="004E460A" w:rsidTr="00AC608C">
        <w:trPr>
          <w:trHeight w:hRule="exact" w:val="577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0A6540" w:rsidP="00E87EFC">
            <w:pPr>
              <w:pStyle w:val="TableParagraph"/>
              <w:tabs>
                <w:tab w:val="left" w:pos="590"/>
                <w:tab w:val="left" w:pos="1165"/>
                <w:tab w:val="left" w:pos="1741"/>
                <w:tab w:val="left" w:pos="2321"/>
                <w:tab w:val="left" w:pos="2897"/>
                <w:tab w:val="left" w:pos="3478"/>
                <w:tab w:val="left" w:pos="4053"/>
                <w:tab w:val="left" w:pos="4634"/>
                <w:tab w:val="left" w:pos="5210"/>
                <w:tab w:val="left" w:pos="5785"/>
                <w:tab w:val="left" w:pos="6361"/>
                <w:tab w:val="left" w:pos="6942"/>
                <w:tab w:val="left" w:pos="7517"/>
                <w:tab w:val="left" w:pos="8098"/>
                <w:tab w:val="left" w:pos="8673"/>
                <w:tab w:val="left" w:pos="9249"/>
              </w:tabs>
              <w:spacing w:before="11"/>
              <w:ind w:left="1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A6540">
              <w:rPr>
                <w:rFonts w:ascii="標楷體" w:eastAsia="標楷體"/>
                <w:noProof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6" type="#_x0000_t202" style="position:absolute;left:0;text-align:left;margin-left:-1.4pt;margin-top:-31.5pt;width:78pt;height:28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" strokecolor="white">
                  <v:textbox>
                    <w:txbxContent>
                      <w:p w:rsidR="00CB52AF" w:rsidRPr="00404CC1" w:rsidRDefault="00CB52AF" w:rsidP="00FC7D0E">
                        <w:pPr>
                          <w:spacing w:line="408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04CC1">
                          <w:rPr>
                            <w:rFonts w:ascii="標楷體" w:eastAsia="標楷體" w:hAnsi="標楷體"/>
                            <w:sz w:val="28"/>
                          </w:rPr>
                          <w:t>附</w:t>
                        </w:r>
                        <w:r w:rsidRPr="00404CC1">
                          <w:rPr>
                            <w:rFonts w:ascii="標楷體" w:eastAsia="標楷體" w:hAnsi="標楷體" w:hint="eastAsia"/>
                            <w:sz w:val="28"/>
                          </w:rPr>
                          <w:t>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>消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防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車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輛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裝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備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器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材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保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養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業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</w:r>
            <w:proofErr w:type="gramStart"/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>務</w:t>
            </w:r>
            <w:proofErr w:type="gramEnd"/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檢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查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評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分</w:t>
            </w:r>
            <w:r w:rsidR="004E460A" w:rsidRPr="004E460A">
              <w:rPr>
                <w:rFonts w:ascii="標楷體" w:eastAsia="標楷體" w:hAnsi="標楷體"/>
                <w:sz w:val="28"/>
                <w:lang w:eastAsia="zh-TW"/>
              </w:rPr>
              <w:tab/>
              <w:t>表</w:t>
            </w:r>
          </w:p>
        </w:tc>
      </w:tr>
      <w:tr w:rsidR="004E460A" w:rsidRPr="004E460A" w:rsidTr="00AC608C">
        <w:trPr>
          <w:trHeight w:hRule="exact" w:val="574"/>
        </w:trPr>
        <w:tc>
          <w:tcPr>
            <w:tcW w:w="23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tabs>
                <w:tab w:val="left" w:pos="686"/>
                <w:tab w:val="left" w:pos="1359"/>
                <w:tab w:val="left" w:pos="2031"/>
              </w:tabs>
              <w:spacing w:before="11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4E460A">
              <w:rPr>
                <w:rFonts w:ascii="標楷體" w:eastAsia="標楷體" w:hAnsi="標楷體"/>
                <w:sz w:val="28"/>
              </w:rPr>
              <w:t>受</w:t>
            </w:r>
            <w:r w:rsidRPr="004E460A">
              <w:rPr>
                <w:rFonts w:ascii="標楷體" w:eastAsia="標楷體" w:hAnsi="標楷體"/>
                <w:sz w:val="28"/>
              </w:rPr>
              <w:tab/>
              <w:t>檢</w:t>
            </w:r>
            <w:r w:rsidRPr="004E460A">
              <w:rPr>
                <w:rFonts w:ascii="標楷體" w:eastAsia="標楷體" w:hAnsi="標楷體"/>
                <w:sz w:val="28"/>
              </w:rPr>
              <w:tab/>
              <w:t>單</w:t>
            </w:r>
            <w:r w:rsidRPr="004E460A">
              <w:rPr>
                <w:rFonts w:ascii="標楷體" w:eastAsia="標楷體" w:hAnsi="標楷體"/>
                <w:sz w:val="28"/>
              </w:rPr>
              <w:tab/>
              <w:t>位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tabs>
                <w:tab w:val="left" w:pos="686"/>
                <w:tab w:val="left" w:pos="1344"/>
                <w:tab w:val="left" w:pos="2002"/>
              </w:tabs>
              <w:spacing w:before="11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4E460A">
              <w:rPr>
                <w:rFonts w:ascii="標楷體" w:eastAsia="標楷體" w:hAnsi="標楷體"/>
                <w:sz w:val="28"/>
              </w:rPr>
              <w:t>檢</w:t>
            </w:r>
            <w:r w:rsidRPr="004E460A">
              <w:rPr>
                <w:rFonts w:ascii="標楷體" w:eastAsia="標楷體" w:hAnsi="標楷體"/>
                <w:sz w:val="28"/>
              </w:rPr>
              <w:tab/>
              <w:t>查</w:t>
            </w:r>
            <w:r w:rsidRPr="004E460A">
              <w:rPr>
                <w:rFonts w:ascii="標楷體" w:eastAsia="標楷體" w:hAnsi="標楷體"/>
                <w:sz w:val="28"/>
              </w:rPr>
              <w:tab/>
              <w:t>日</w:t>
            </w:r>
            <w:r w:rsidRPr="004E460A">
              <w:rPr>
                <w:rFonts w:ascii="標楷體" w:eastAsia="標楷體" w:hAnsi="標楷體"/>
                <w:sz w:val="28"/>
              </w:rPr>
              <w:tab/>
              <w:t>期</w:t>
            </w:r>
          </w:p>
        </w:tc>
        <w:tc>
          <w:tcPr>
            <w:tcW w:w="2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553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E460A" w:rsidRPr="00AC608C" w:rsidRDefault="004E460A" w:rsidP="00E87EFC">
            <w:pPr>
              <w:pStyle w:val="TableParagraph"/>
              <w:spacing w:before="11" w:line="261" w:lineRule="auto"/>
              <w:ind w:left="153" w:right="142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C608C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AC608C">
              <w:rPr>
                <w:rFonts w:ascii="標楷體" w:eastAsia="標楷體" w:hAnsi="標楷體"/>
                <w:w w:val="99"/>
                <w:sz w:val="26"/>
                <w:szCs w:val="26"/>
              </w:rPr>
              <w:t xml:space="preserve"> </w:t>
            </w:r>
            <w:r w:rsidRPr="00AC608C"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ind w:left="2382" w:right="2382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z w:val="28"/>
              </w:rPr>
              <w:t>檢查項目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08C" w:rsidRPr="00AC608C" w:rsidRDefault="00AC608C" w:rsidP="00AC608C">
            <w:pPr>
              <w:pStyle w:val="TableParagraph"/>
              <w:spacing w:before="184" w:line="261" w:lineRule="auto"/>
              <w:ind w:right="127"/>
              <w:jc w:val="righ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C608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配</w:t>
            </w:r>
          </w:p>
          <w:p w:rsidR="004E460A" w:rsidRPr="00AC608C" w:rsidRDefault="00AC608C" w:rsidP="00AC608C">
            <w:pPr>
              <w:pStyle w:val="TableParagraph"/>
              <w:spacing w:before="184" w:line="261" w:lineRule="auto"/>
              <w:ind w:right="12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C608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分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tabs>
                <w:tab w:val="left" w:pos="1920"/>
              </w:tabs>
              <w:spacing w:before="11"/>
              <w:ind w:left="244"/>
              <w:jc w:val="center"/>
              <w:rPr>
                <w:rFonts w:ascii="標楷體" w:eastAsia="標楷體" w:hAnsi="標楷體"/>
                <w:sz w:val="28"/>
              </w:rPr>
            </w:pPr>
            <w:r w:rsidRPr="004E460A">
              <w:rPr>
                <w:rFonts w:ascii="標楷體" w:eastAsia="標楷體" w:hAnsi="標楷體"/>
                <w:sz w:val="28"/>
              </w:rPr>
              <w:t>得</w:t>
            </w:r>
            <w:r w:rsidRPr="004E460A">
              <w:rPr>
                <w:rFonts w:ascii="標楷體" w:eastAsia="標楷體" w:hAnsi="標楷體"/>
                <w:sz w:val="28"/>
              </w:rPr>
              <w:tab/>
              <w:t>分</w:t>
            </w:r>
          </w:p>
        </w:tc>
      </w:tr>
      <w:tr w:rsidR="004E460A" w:rsidRPr="004E460A" w:rsidTr="00AC608C">
        <w:trPr>
          <w:trHeight w:hRule="exact" w:val="744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1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z w:val="28"/>
              </w:rPr>
              <w:t>局本部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pStyle w:val="TableParagraph"/>
              <w:spacing w:line="314" w:lineRule="exact"/>
              <w:ind w:left="121" w:right="6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pacing w:val="-38"/>
                <w:sz w:val="28"/>
              </w:rPr>
              <w:t>大（中）隊</w:t>
            </w:r>
            <w:proofErr w:type="spellEnd"/>
          </w:p>
          <w:p w:rsidR="004E460A" w:rsidRPr="004E460A" w:rsidRDefault="004E460A" w:rsidP="00E87EFC">
            <w:pPr>
              <w:pStyle w:val="TableParagraph"/>
              <w:spacing w:line="366" w:lineRule="exact"/>
              <w:ind w:left="69" w:right="6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E460A">
              <w:rPr>
                <w:rFonts w:ascii="標楷體" w:eastAsia="標楷體" w:hAnsi="標楷體"/>
                <w:sz w:val="28"/>
              </w:rPr>
              <w:t>同級單位</w:t>
            </w:r>
            <w:proofErr w:type="spellEnd"/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計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畫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擬訂是否依據確實（附原簽稿）？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5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內容是否將有關規定納入並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明確敘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明？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5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1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是否於實施檢查兩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週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前發布檢查計畫？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有副陳上級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備查？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是否按隸屬系統行文？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7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5"/>
              <w:ind w:left="2382" w:right="2377"/>
              <w:jc w:val="center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合</w:t>
            </w:r>
            <w:r w:rsidRPr="004E460A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4E460A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12"/>
              <w:rPr>
                <w:rFonts w:ascii="標楷體" w:eastAsia="標楷體" w:hAnsi="標楷體"/>
                <w:sz w:val="31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執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行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是否依照計畫規定實施檢查？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1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檢查內容及次數是否與檢查週期表規定相符？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各次檢查時隔是否適當？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是否按規定使用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各式表卡及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完整建檔？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帳卡與物品是否相符、登記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清楚，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是否清點？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692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94"/>
              <w:ind w:left="2382" w:right="238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合計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781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考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4E460A" w:rsidRPr="004E460A" w:rsidRDefault="004E460A" w:rsidP="00E87EFC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核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60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對署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、局</w:t>
            </w:r>
            <w:r w:rsidRPr="004E460A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4E460A">
              <w:rPr>
                <w:rFonts w:ascii="標楷體" w:eastAsia="標楷體" w:hAnsi="標楷體"/>
                <w:sz w:val="24"/>
                <w:lang w:eastAsia="zh-TW"/>
              </w:rPr>
              <w:t>大隊及同級單位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當年度檢（抽）查所公布之</w:t>
            </w:r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缺點有無改進措施及</w:t>
            </w:r>
            <w:proofErr w:type="gramStart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副陳署</w:t>
            </w:r>
            <w:proofErr w:type="gramEnd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、局</w:t>
            </w:r>
            <w:r w:rsidRPr="004E460A">
              <w:rPr>
                <w:rFonts w:ascii="標楷體" w:eastAsia="標楷體" w:hAnsi="標楷體" w:hint="eastAsia"/>
                <w:spacing w:val="-8"/>
                <w:sz w:val="24"/>
                <w:lang w:eastAsia="zh-TW"/>
              </w:rPr>
              <w:t>(</w:t>
            </w:r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大隊及同級單位</w:t>
            </w:r>
            <w:proofErr w:type="gramStart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）</w:t>
            </w:r>
            <w:proofErr w:type="gramEnd"/>
            <w:r w:rsidRPr="004E460A">
              <w:rPr>
                <w:rFonts w:ascii="標楷體" w:eastAsia="標楷體" w:hAnsi="標楷體"/>
                <w:spacing w:val="-8"/>
                <w:sz w:val="24"/>
                <w:lang w:eastAsia="zh-TW"/>
              </w:rPr>
              <w:t>備查。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8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E460A" w:rsidRPr="004E460A" w:rsidRDefault="004E460A" w:rsidP="00E87EFC">
            <w:pPr>
              <w:pStyle w:val="TableParagraph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9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對所屬單位檢查後有無檢討紀錄？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9"/>
              <w:ind w:left="240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7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4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帳物不符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或缺失有無追蹤複查紀錄？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4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對所屬檢查成績、名次是否評定發布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及副陳上級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備查？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451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74" w:line="280" w:lineRule="exact"/>
              <w:ind w:left="23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是否依規定辦理檢查成績獎懲？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816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AC608C">
            <w:pPr>
              <w:pStyle w:val="TableParagraph"/>
              <w:spacing w:before="60" w:line="280" w:lineRule="exact"/>
              <w:ind w:left="23" w:right="6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報繳（廢）及送修裝備是否於檢查兩</w:t>
            </w:r>
            <w:proofErr w:type="gramStart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週</w:t>
            </w:r>
            <w:proofErr w:type="gramEnd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前報出（附相關文 </w:t>
            </w:r>
            <w:r w:rsidRPr="004E460A">
              <w:rPr>
                <w:rFonts w:ascii="標楷體" w:eastAsia="標楷體" w:hAnsi="標楷體"/>
                <w:sz w:val="24"/>
                <w:lang w:eastAsia="zh-TW"/>
              </w:rPr>
              <w:t>件）？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8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E460A" w:rsidRPr="004E460A" w:rsidRDefault="004E460A" w:rsidP="00E87EFC">
            <w:pPr>
              <w:pStyle w:val="TableParagraph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rPr>
          <w:trHeight w:hRule="exact" w:val="643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70"/>
              <w:ind w:left="2382" w:right="238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合計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46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tbRlV"/>
          </w:tcPr>
          <w:p w:rsidR="00AC608C" w:rsidRDefault="00AC608C" w:rsidP="00E87EFC">
            <w:pPr>
              <w:pStyle w:val="TableParagraph"/>
              <w:spacing w:before="159" w:line="304" w:lineRule="auto"/>
              <w:ind w:left="172" w:right="1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</w:rPr>
              <w:t>基 層 單 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(分隊)</w:t>
            </w:r>
          </w:p>
          <w:p w:rsidR="00AC608C" w:rsidRPr="004E460A" w:rsidRDefault="00AC608C" w:rsidP="00E87EFC">
            <w:pPr>
              <w:pStyle w:val="TableParagraph"/>
              <w:spacing w:before="159" w:line="304" w:lineRule="auto"/>
              <w:ind w:left="172" w:right="1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26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對上級發布之裝備檢查文件是否適切處理</w:t>
            </w:r>
            <w:proofErr w:type="gramStart"/>
            <w:r w:rsidRPr="004E460A">
              <w:rPr>
                <w:rFonts w:ascii="標楷體" w:eastAsia="標楷體" w:hAnsi="標楷體"/>
                <w:sz w:val="24"/>
                <w:lang w:eastAsia="zh-TW"/>
              </w:rPr>
              <w:t>及彙裝完整</w:t>
            </w:r>
            <w:proofErr w:type="gramEnd"/>
            <w:r w:rsidRPr="004E460A">
              <w:rPr>
                <w:rFonts w:ascii="標楷體" w:eastAsia="標楷體" w:hAnsi="標楷體"/>
                <w:sz w:val="24"/>
                <w:lang w:eastAsia="zh-TW"/>
              </w:rPr>
              <w:t>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464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74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帳卡等是否依規定登記、相符及完整彙集？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74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470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89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是否照檢查週期表之規定執行檢查及清點？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89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rPr>
          <w:trHeight w:hRule="exact" w:val="653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line="287" w:lineRule="exact"/>
              <w:ind w:left="24" w:right="-38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是否按規定使用各項表單、紀錄完整</w:t>
            </w:r>
            <w:proofErr w:type="gramStart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並彙裝整齊（</w:t>
            </w:r>
            <w:proofErr w:type="gramEnd"/>
            <w:r w:rsidRPr="004E460A">
              <w:rPr>
                <w:rFonts w:ascii="標楷體" w:eastAsia="標楷體" w:hAnsi="標楷體"/>
                <w:spacing w:val="-5"/>
                <w:sz w:val="24"/>
                <w:lang w:eastAsia="zh-TW"/>
              </w:rPr>
              <w:t>影本以</w:t>
            </w:r>
          </w:p>
          <w:p w:rsidR="00AC608C" w:rsidRPr="004E460A" w:rsidRDefault="00AC608C" w:rsidP="00E87EFC">
            <w:pPr>
              <w:pStyle w:val="TableParagraph"/>
              <w:spacing w:line="313" w:lineRule="exact"/>
              <w:ind w:left="24" w:right="-38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零分計算</w:t>
            </w:r>
            <w:proofErr w:type="spellEnd"/>
            <w:r w:rsidRPr="004E460A">
              <w:rPr>
                <w:rFonts w:ascii="標楷體" w:eastAsia="標楷體" w:hAnsi="標楷體"/>
                <w:sz w:val="24"/>
              </w:rPr>
              <w:t>）？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180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470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159" w:line="304" w:lineRule="auto"/>
              <w:ind w:left="172" w:right="1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24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對保養不良及損壞之裝備是否主動處理？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564"/>
        </w:trPr>
        <w:tc>
          <w:tcPr>
            <w:tcW w:w="61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24"/>
              <w:rPr>
                <w:rFonts w:ascii="標楷體" w:eastAsia="標楷體" w:hAnsi="標楷體"/>
                <w:sz w:val="24"/>
                <w:lang w:eastAsia="zh-TW"/>
              </w:rPr>
            </w:pPr>
            <w:r w:rsidRPr="004E460A">
              <w:rPr>
                <w:rFonts w:ascii="標楷體" w:eastAsia="標楷體" w:hAnsi="標楷體"/>
                <w:sz w:val="24"/>
                <w:lang w:eastAsia="zh-TW"/>
              </w:rPr>
              <w:t>對裝備保養優劣人員有無考核紀錄？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93"/>
              <w:ind w:left="187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AC608C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604"/>
        </w:trPr>
        <w:tc>
          <w:tcPr>
            <w:tcW w:w="6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8C" w:rsidRPr="004E460A" w:rsidRDefault="00AC608C" w:rsidP="00E87EFC">
            <w:pPr>
              <w:pStyle w:val="TableParagraph"/>
              <w:spacing w:before="200"/>
              <w:ind w:left="2702" w:right="270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460A">
              <w:rPr>
                <w:rFonts w:ascii="標楷體" w:eastAsia="標楷體" w:hAnsi="標楷體"/>
                <w:sz w:val="24"/>
              </w:rPr>
              <w:t>合計</w:t>
            </w:r>
            <w:proofErr w:type="spellEnd"/>
          </w:p>
        </w:tc>
        <w:tc>
          <w:tcPr>
            <w:tcW w:w="3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608C" w:rsidRPr="004E460A" w:rsidRDefault="00AC608C" w:rsidP="00E87EFC">
            <w:pPr>
              <w:rPr>
                <w:rFonts w:ascii="標楷體" w:eastAsia="標楷體" w:hAnsi="標楷體"/>
              </w:rPr>
            </w:pPr>
          </w:p>
        </w:tc>
      </w:tr>
      <w:tr w:rsidR="004E460A" w:rsidRPr="004E460A" w:rsidTr="00AC608C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1486"/>
        </w:trPr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189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總</w:t>
            </w:r>
          </w:p>
          <w:p w:rsidR="004E460A" w:rsidRPr="004E460A" w:rsidRDefault="004E460A" w:rsidP="00E87E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E460A" w:rsidRPr="004E460A" w:rsidRDefault="004E460A" w:rsidP="00E87EFC">
            <w:pPr>
              <w:pStyle w:val="TableParagraph"/>
              <w:spacing w:before="168"/>
              <w:ind w:left="172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pStyle w:val="TableParagraph"/>
              <w:spacing w:before="65"/>
              <w:ind w:left="71" w:right="65"/>
              <w:jc w:val="both"/>
              <w:rPr>
                <w:rFonts w:ascii="標楷體" w:eastAsia="標楷體" w:hAnsi="標楷體"/>
                <w:sz w:val="24"/>
              </w:rPr>
            </w:pPr>
            <w:r w:rsidRPr="004E460A">
              <w:rPr>
                <w:rFonts w:ascii="標楷體" w:eastAsia="標楷體" w:hAnsi="標楷體"/>
                <w:sz w:val="24"/>
              </w:rPr>
              <w:t>檢 查 人 員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926" w:rsidRPr="004E460A" w:rsidRDefault="004B2926" w:rsidP="004B2926">
            <w:pPr>
              <w:pStyle w:val="TableParagraph"/>
              <w:spacing w:before="65"/>
              <w:ind w:left="71" w:right="6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會</w:t>
            </w:r>
            <w:r w:rsidRPr="004E460A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檢</w:t>
            </w:r>
            <w:r w:rsidRPr="004E460A">
              <w:rPr>
                <w:rFonts w:ascii="標楷體" w:eastAsia="標楷體" w:hAnsi="標楷體"/>
                <w:sz w:val="24"/>
              </w:rPr>
              <w:t xml:space="preserve"> 人 員</w:t>
            </w:r>
          </w:p>
        </w:tc>
        <w:tc>
          <w:tcPr>
            <w:tcW w:w="3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E460A" w:rsidRPr="004E460A" w:rsidRDefault="004E460A" w:rsidP="00E87EFC">
            <w:pPr>
              <w:rPr>
                <w:rFonts w:ascii="標楷體" w:eastAsia="標楷體" w:hAnsi="標楷體"/>
              </w:rPr>
            </w:pPr>
          </w:p>
        </w:tc>
      </w:tr>
    </w:tbl>
    <w:p w:rsidR="004E460A" w:rsidRPr="006C481B" w:rsidRDefault="00013023" w:rsidP="00F626F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 xml:space="preserve">備 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013023" w:rsidRPr="006C481B" w:rsidRDefault="00013023" w:rsidP="00F626F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各級消防機關檢查所屬單位業務檢查計分方式如下：</w:t>
      </w:r>
    </w:p>
    <w:p w:rsidR="00013023" w:rsidRPr="006C481B" w:rsidRDefault="00013023" w:rsidP="00F626F0">
      <w:pPr>
        <w:spacing w:before="46"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pacing w:val="28"/>
          <w:sz w:val="28"/>
          <w:szCs w:val="28"/>
        </w:rPr>
        <w:t>一、</w:t>
      </w:r>
      <w:proofErr w:type="gramStart"/>
      <w:r w:rsidRPr="006C481B">
        <w:rPr>
          <w:rFonts w:ascii="標楷體" w:eastAsia="標楷體" w:hAnsi="標楷體" w:hint="eastAsia"/>
          <w:spacing w:val="28"/>
          <w:sz w:val="28"/>
          <w:szCs w:val="28"/>
        </w:rPr>
        <w:t>署檢</w:t>
      </w:r>
      <w:proofErr w:type="gramEnd"/>
      <w:r w:rsidR="000B567D" w:rsidRPr="006C481B">
        <w:rPr>
          <w:rFonts w:ascii="標楷體" w:eastAsia="標楷體" w:hAnsi="標楷體" w:hint="eastAsia"/>
          <w:spacing w:val="28"/>
          <w:sz w:val="28"/>
          <w:szCs w:val="28"/>
        </w:rPr>
        <w:t>(訪)</w:t>
      </w:r>
      <w:r w:rsidRPr="006C481B">
        <w:rPr>
          <w:rFonts w:ascii="標楷體" w:eastAsia="標楷體" w:hAnsi="標楷體" w:hint="eastAsia"/>
          <w:spacing w:val="9"/>
          <w:sz w:val="28"/>
          <w:szCs w:val="28"/>
        </w:rPr>
        <w:t>查</w:t>
      </w:r>
      <w:r w:rsidRPr="006C481B">
        <w:rPr>
          <w:rFonts w:ascii="標楷體" w:eastAsia="標楷體" w:hAnsi="標楷體" w:hint="eastAsia"/>
          <w:sz w:val="28"/>
          <w:szCs w:val="28"/>
        </w:rPr>
        <w:t>各級消防機關業務檢查總分計分比例如下：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消防局及同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級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30%</w:t>
      </w:r>
      <w:r w:rsidR="00A60C90" w:rsidRPr="006C481B">
        <w:rPr>
          <w:rFonts w:ascii="標楷體" w:eastAsia="標楷體" w:hAnsi="標楷體" w:hint="eastAsia"/>
          <w:spacing w:val="-25"/>
          <w:sz w:val="28"/>
          <w:szCs w:val="28"/>
        </w:rPr>
        <w:t>(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計畫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20% </w:t>
      </w:r>
      <w:r w:rsidR="00A60C90" w:rsidRPr="006C481B">
        <w:rPr>
          <w:rFonts w:ascii="標楷體" w:eastAsia="標楷體" w:hAnsi="標楷體" w:hint="eastAsia"/>
          <w:spacing w:val="-25"/>
          <w:sz w:val="28"/>
          <w:szCs w:val="28"/>
        </w:rPr>
        <w:t>、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執行考核各40%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。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pacing w:val="-48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(二)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大</w:t>
      </w:r>
      <w:r w:rsidRPr="006C481B">
        <w:rPr>
          <w:rFonts w:ascii="標楷體" w:eastAsia="標楷體" w:hAnsi="標楷體" w:hint="eastAsia"/>
          <w:sz w:val="28"/>
          <w:szCs w:val="28"/>
        </w:rPr>
        <w:t>(中)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隊及同級單位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30%(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計畫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20% 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、執行考核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各40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%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)</w:t>
      </w:r>
      <w:r w:rsidR="006C481B">
        <w:rPr>
          <w:rFonts w:ascii="標楷體" w:eastAsia="標楷體" w:hAnsi="標楷體" w:hint="eastAsia"/>
          <w:spacing w:val="-25"/>
          <w:sz w:val="28"/>
          <w:szCs w:val="28"/>
        </w:rPr>
        <w:t>。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pacing w:val="21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(三)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基層及同級單位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分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40%</w:t>
      </w:r>
      <w:r w:rsidR="00013023" w:rsidRPr="006C481B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013023" w:rsidRPr="006C481B">
        <w:rPr>
          <w:rFonts w:ascii="標楷體" w:eastAsia="標楷體" w:hAnsi="標楷體" w:hint="eastAsia"/>
          <w:spacing w:val="21"/>
          <w:sz w:val="28"/>
          <w:szCs w:val="28"/>
        </w:rPr>
        <w:t>。</w:t>
      </w:r>
    </w:p>
    <w:p w:rsidR="00013023" w:rsidRPr="006C481B" w:rsidRDefault="00013023" w:rsidP="00F626F0">
      <w:pPr>
        <w:spacing w:before="46" w:line="320" w:lineRule="exact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二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、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局檢查所屬計分比例為：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pacing w:val="-29"/>
          <w:sz w:val="28"/>
          <w:szCs w:val="28"/>
        </w:rPr>
        <w:t xml:space="preserve"> 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大</w:t>
      </w:r>
      <w:r w:rsidRPr="006C481B">
        <w:rPr>
          <w:rFonts w:ascii="標楷體" w:eastAsia="標楷體" w:hAnsi="標楷體" w:hint="eastAsia"/>
          <w:sz w:val="28"/>
          <w:szCs w:val="28"/>
        </w:rPr>
        <w:t>(中)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隊及同級單位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業務總分50%</w:t>
      </w:r>
      <w:r w:rsidRPr="006C481B">
        <w:rPr>
          <w:rFonts w:ascii="標楷體" w:eastAsia="標楷體" w:hAnsi="標楷體" w:hint="eastAsia"/>
          <w:sz w:val="28"/>
          <w:szCs w:val="28"/>
        </w:rPr>
        <w:t>(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計畫</w:t>
      </w:r>
      <w:r w:rsidR="00013023" w:rsidRPr="006C481B">
        <w:rPr>
          <w:rFonts w:ascii="標楷體" w:eastAsia="標楷體" w:hAnsi="標楷體" w:hint="eastAsia"/>
          <w:spacing w:val="-25"/>
          <w:sz w:val="28"/>
          <w:szCs w:val="28"/>
        </w:rPr>
        <w:t>20%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、執行考核</w:t>
      </w:r>
      <w:r w:rsidR="00A60C90" w:rsidRPr="006C481B">
        <w:rPr>
          <w:rFonts w:ascii="標楷體" w:eastAsia="標楷體" w:hAnsi="標楷體" w:hint="eastAsia"/>
          <w:sz w:val="28"/>
          <w:szCs w:val="28"/>
        </w:rPr>
        <w:t>各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40%</w:t>
      </w:r>
      <w:r w:rsidRPr="006C481B">
        <w:rPr>
          <w:rFonts w:ascii="標楷體" w:eastAsia="標楷體" w:hAnsi="標楷體" w:hint="eastAsia"/>
          <w:sz w:val="28"/>
          <w:szCs w:val="28"/>
        </w:rPr>
        <w:t>)</w:t>
      </w:r>
      <w:r w:rsidR="00013023" w:rsidRPr="006C481B">
        <w:rPr>
          <w:rFonts w:ascii="標楷體" w:eastAsia="標楷體" w:hAnsi="標楷體" w:hint="eastAsia"/>
          <w:spacing w:val="-48"/>
          <w:sz w:val="28"/>
          <w:szCs w:val="28"/>
        </w:rPr>
        <w:t>。</w:t>
      </w:r>
    </w:p>
    <w:p w:rsidR="00013023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(二)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基層及同級單位</w:t>
      </w:r>
      <w:proofErr w:type="gramStart"/>
      <w:r w:rsidR="00013023"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13023"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Pr="006C481B">
        <w:rPr>
          <w:rFonts w:ascii="標楷體" w:eastAsia="標楷體" w:hAnsi="標楷體" w:hint="eastAsia"/>
          <w:sz w:val="28"/>
          <w:szCs w:val="28"/>
        </w:rPr>
        <w:t>50%</w:t>
      </w:r>
      <w:r w:rsidR="00013023" w:rsidRPr="006C481B">
        <w:rPr>
          <w:rFonts w:ascii="標楷體" w:eastAsia="標楷體" w:hAnsi="標楷體" w:hint="eastAsia"/>
          <w:sz w:val="28"/>
          <w:szCs w:val="28"/>
        </w:rPr>
        <w:t>。</w:t>
      </w:r>
    </w:p>
    <w:p w:rsidR="000B567D" w:rsidRPr="006C481B" w:rsidRDefault="000B567D" w:rsidP="00F626F0">
      <w:pPr>
        <w:spacing w:before="10" w:line="320" w:lineRule="exact"/>
        <w:ind w:right="3781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三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、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 xml:space="preserve"> </w:t>
      </w:r>
      <w:r w:rsidRPr="006C481B">
        <w:rPr>
          <w:rFonts w:ascii="標楷體" w:eastAsia="標楷體" w:hAnsi="標楷體" w:hint="eastAsia"/>
          <w:sz w:val="28"/>
          <w:szCs w:val="28"/>
        </w:rPr>
        <w:t>大隊檢查所屬計分比例為：</w:t>
      </w:r>
    </w:p>
    <w:p w:rsidR="000B567D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)中隊及同級單位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業務總分50%</w:t>
      </w:r>
      <w:r w:rsidRPr="006C481B">
        <w:rPr>
          <w:rFonts w:ascii="標楷體" w:eastAsia="標楷體" w:hAnsi="標楷體" w:hint="eastAsia"/>
          <w:spacing w:val="14"/>
          <w:sz w:val="28"/>
          <w:szCs w:val="28"/>
        </w:rPr>
        <w:t>（</w:t>
      </w:r>
      <w:r w:rsidRPr="006C481B">
        <w:rPr>
          <w:rFonts w:ascii="標楷體" w:eastAsia="標楷體" w:hAnsi="標楷體" w:hint="eastAsia"/>
          <w:sz w:val="28"/>
          <w:szCs w:val="28"/>
        </w:rPr>
        <w:t>計畫</w:t>
      </w:r>
      <w:r w:rsidRPr="006C481B">
        <w:rPr>
          <w:rFonts w:ascii="標楷體" w:eastAsia="標楷體" w:hAnsi="標楷體" w:hint="eastAsia"/>
          <w:spacing w:val="-25"/>
          <w:sz w:val="28"/>
          <w:szCs w:val="28"/>
        </w:rPr>
        <w:t>20%</w:t>
      </w:r>
      <w:r w:rsidRPr="006C481B">
        <w:rPr>
          <w:rFonts w:ascii="標楷體" w:eastAsia="標楷體" w:hAnsi="標楷體" w:hint="eastAsia"/>
          <w:sz w:val="28"/>
          <w:szCs w:val="28"/>
        </w:rPr>
        <w:t>、執行考核各40%）。</w:t>
      </w:r>
    </w:p>
    <w:p w:rsidR="000B567D" w:rsidRPr="006C481B" w:rsidRDefault="000B567D" w:rsidP="00F626F0">
      <w:pPr>
        <w:spacing w:before="46" w:line="320" w:lineRule="exact"/>
        <w:ind w:left="580"/>
        <w:rPr>
          <w:rFonts w:ascii="標楷體" w:eastAsia="標楷體" w:hAnsi="標楷體"/>
          <w:sz w:val="28"/>
          <w:szCs w:val="28"/>
        </w:rPr>
      </w:pPr>
      <w:r w:rsidRPr="006C481B">
        <w:rPr>
          <w:rFonts w:ascii="標楷體" w:eastAsia="標楷體" w:hAnsi="標楷體" w:hint="eastAsia"/>
          <w:sz w:val="28"/>
          <w:szCs w:val="28"/>
        </w:rPr>
        <w:t>(二)基層及同級單位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 xml:space="preserve">業務總分50%。 </w:t>
      </w:r>
    </w:p>
    <w:p w:rsidR="0080652C" w:rsidRPr="00220D82" w:rsidRDefault="000B567D" w:rsidP="00F626F0">
      <w:pPr>
        <w:spacing w:before="46" w:line="320" w:lineRule="exact"/>
        <w:rPr>
          <w:rFonts w:ascii="標楷體" w:eastAsia="標楷體" w:hAnsi="標楷體"/>
          <w:szCs w:val="24"/>
        </w:rPr>
      </w:pPr>
      <w:r w:rsidRPr="006C481B">
        <w:rPr>
          <w:rFonts w:ascii="標楷體" w:eastAsia="標楷體" w:hAnsi="標楷體" w:hint="eastAsia"/>
          <w:sz w:val="28"/>
          <w:szCs w:val="28"/>
        </w:rPr>
        <w:t>四 、中隊檢查所屬計分比例為：基層及同級單位</w:t>
      </w:r>
      <w:proofErr w:type="gramStart"/>
      <w:r w:rsidRPr="006C481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C481B">
        <w:rPr>
          <w:rFonts w:ascii="標楷體" w:eastAsia="標楷體" w:hAnsi="標楷體" w:hint="eastAsia"/>
          <w:sz w:val="28"/>
          <w:szCs w:val="28"/>
        </w:rPr>
        <w:t>業務總分</w:t>
      </w:r>
      <w:r w:rsidR="00220D82">
        <w:rPr>
          <w:rFonts w:ascii="標楷體" w:eastAsia="標楷體" w:hAnsi="標楷體" w:hint="eastAsia"/>
          <w:sz w:val="28"/>
          <w:szCs w:val="28"/>
        </w:rPr>
        <w:t>100</w:t>
      </w:r>
      <w:r w:rsidR="00F86CDF">
        <w:rPr>
          <w:rFonts w:ascii="標楷體" w:eastAsia="標楷體" w:hAnsi="標楷體" w:hint="eastAsia"/>
          <w:sz w:val="28"/>
          <w:szCs w:val="28"/>
        </w:rPr>
        <w:t>%</w:t>
      </w:r>
      <w:r w:rsidR="00F626F0">
        <w:rPr>
          <w:rFonts w:ascii="標楷體" w:eastAsia="標楷體" w:hAnsi="標楷體" w:hint="eastAsia"/>
          <w:sz w:val="28"/>
          <w:szCs w:val="28"/>
        </w:rPr>
        <w:t>。</w:t>
      </w:r>
    </w:p>
    <w:sectPr w:rsidR="0080652C" w:rsidRPr="00220D82" w:rsidSect="00010DE2">
      <w:footerReference w:type="default" r:id="rId8"/>
      <w:pgSz w:w="11906" w:h="16838" w:code="9"/>
      <w:pgMar w:top="1135" w:right="1440" w:bottom="426" w:left="144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3F" w:rsidRDefault="009D223F" w:rsidP="002741C9">
      <w:r>
        <w:separator/>
      </w:r>
    </w:p>
  </w:endnote>
  <w:endnote w:type="continuationSeparator" w:id="0">
    <w:p w:rsidR="009D223F" w:rsidRDefault="009D223F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3F" w:rsidRDefault="009D223F" w:rsidP="002741C9">
      <w:r>
        <w:separator/>
      </w:r>
    </w:p>
  </w:footnote>
  <w:footnote w:type="continuationSeparator" w:id="0">
    <w:p w:rsidR="009D223F" w:rsidRDefault="009D223F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A6540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5AAB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075B7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41B49"/>
    <w:rsid w:val="00947690"/>
    <w:rsid w:val="009552E3"/>
    <w:rsid w:val="00975A3E"/>
    <w:rsid w:val="00975C74"/>
    <w:rsid w:val="009A1FA4"/>
    <w:rsid w:val="009C4697"/>
    <w:rsid w:val="009D223F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CD4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41AD9"/>
    <w:rsid w:val="00E57D73"/>
    <w:rsid w:val="00E66CE1"/>
    <w:rsid w:val="00E872DF"/>
    <w:rsid w:val="00E87EFC"/>
    <w:rsid w:val="00E91B3F"/>
    <w:rsid w:val="00ED35D0"/>
    <w:rsid w:val="00ED3DDE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BAE4-5BBD-482D-8218-E3B9E8A3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6</cp:revision>
  <cp:lastPrinted>2016-03-18T03:03:00Z</cp:lastPrinted>
  <dcterms:created xsi:type="dcterms:W3CDTF">2016-03-25T03:24:00Z</dcterms:created>
  <dcterms:modified xsi:type="dcterms:W3CDTF">2016-03-25T07:34:00Z</dcterms:modified>
</cp:coreProperties>
</file>