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5E" w:rsidRPr="00BB6C49" w:rsidRDefault="00CA505E" w:rsidP="00CA505E">
      <w:pPr>
        <w:pStyle w:val="a7"/>
        <w:rPr>
          <w:rFonts w:ascii="標楷體" w:eastAsia="標楷體" w:hAnsi="標楷體"/>
          <w:b/>
          <w:sz w:val="28"/>
        </w:rPr>
      </w:pPr>
      <w:r w:rsidRPr="00BB6C49">
        <w:rPr>
          <w:rFonts w:ascii="標楷體" w:eastAsia="標楷體" w:hAnsi="標楷體" w:hint="eastAsia"/>
          <w:b/>
          <w:sz w:val="28"/>
        </w:rPr>
        <w:t>附表2：試辦公務人員專業加給評價作業計畫</w:t>
      </w:r>
      <w:proofErr w:type="gramStart"/>
      <w:r w:rsidRPr="00BB6C49">
        <w:rPr>
          <w:rFonts w:ascii="標楷體" w:eastAsia="標楷體" w:hAnsi="標楷體" w:hint="eastAsia"/>
          <w:b/>
          <w:sz w:val="28"/>
        </w:rPr>
        <w:t>—</w:t>
      </w:r>
      <w:proofErr w:type="gramEnd"/>
      <w:r w:rsidRPr="00BB6C49">
        <w:rPr>
          <w:rFonts w:ascii="標楷體" w:eastAsia="標楷體" w:hAnsi="標楷體" w:hint="eastAsia"/>
          <w:b/>
          <w:sz w:val="28"/>
        </w:rPr>
        <w:t>自評表</w:t>
      </w:r>
    </w:p>
    <w:p w:rsidR="00CA505E" w:rsidRPr="00BB6C49" w:rsidRDefault="00CA505E" w:rsidP="00CA505E">
      <w:pPr>
        <w:rPr>
          <w:rFonts w:ascii="Times New Roman" w:eastAsia="標楷體" w:hAnsi="Times New Roman" w:cs="Times New Roman"/>
          <w:color w:val="000000" w:themeColor="text1"/>
          <w:sz w:val="28"/>
          <w:szCs w:val="28"/>
        </w:rPr>
      </w:pPr>
      <w:r w:rsidRPr="00BB6C49">
        <w:rPr>
          <w:rFonts w:ascii="Times New Roman" w:eastAsia="標楷體" w:hAnsi="Times New Roman" w:cs="Times New Roman" w:hint="eastAsia"/>
          <w:color w:val="000000" w:themeColor="text1"/>
          <w:sz w:val="28"/>
          <w:szCs w:val="28"/>
        </w:rPr>
        <w:t>主管機關：</w:t>
      </w:r>
      <w:r w:rsidRPr="00BB6C49">
        <w:rPr>
          <w:rFonts w:ascii="Times New Roman" w:eastAsia="標楷體" w:hAnsi="Times New Roman" w:cs="Times New Roman" w:hint="eastAsia"/>
          <w:color w:val="000000" w:themeColor="text1"/>
          <w:sz w:val="28"/>
          <w:szCs w:val="28"/>
        </w:rPr>
        <w:t xml:space="preserve">_____________________  </w:t>
      </w:r>
      <w:r w:rsidRPr="00BB6C49">
        <w:rPr>
          <w:rFonts w:ascii="Times New Roman" w:eastAsia="標楷體" w:hAnsi="Times New Roman" w:cs="Times New Roman" w:hint="eastAsia"/>
          <w:color w:val="000000" w:themeColor="text1"/>
          <w:sz w:val="28"/>
          <w:szCs w:val="28"/>
        </w:rPr>
        <w:t>受評機關：</w:t>
      </w:r>
      <w:r w:rsidRPr="00BB6C49">
        <w:rPr>
          <w:rFonts w:ascii="Times New Roman" w:eastAsia="標楷體" w:hAnsi="Times New Roman" w:cs="Times New Roman" w:hint="eastAsia"/>
          <w:color w:val="000000" w:themeColor="text1"/>
          <w:sz w:val="28"/>
          <w:szCs w:val="28"/>
        </w:rPr>
        <w:t xml:space="preserve">_____________________  </w:t>
      </w:r>
      <w:r w:rsidRPr="00BB6C49">
        <w:rPr>
          <w:rFonts w:ascii="Times New Roman" w:eastAsia="標楷體" w:hAnsi="Times New Roman" w:cs="Times New Roman" w:hint="eastAsia"/>
          <w:color w:val="000000" w:themeColor="text1"/>
          <w:sz w:val="28"/>
          <w:szCs w:val="28"/>
        </w:rPr>
        <w:t>受評單位：</w:t>
      </w:r>
      <w:r w:rsidRPr="00BB6C49">
        <w:rPr>
          <w:rFonts w:ascii="Times New Roman" w:eastAsia="標楷體" w:hAnsi="Times New Roman" w:cs="Times New Roman" w:hint="eastAsia"/>
          <w:color w:val="000000" w:themeColor="text1"/>
          <w:sz w:val="28"/>
          <w:szCs w:val="28"/>
        </w:rPr>
        <w:t>___________________</w:t>
      </w:r>
    </w:p>
    <w:tbl>
      <w:tblPr>
        <w:tblW w:w="20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5528"/>
        <w:gridCol w:w="1418"/>
        <w:gridCol w:w="5245"/>
        <w:gridCol w:w="1417"/>
        <w:gridCol w:w="3827"/>
      </w:tblGrid>
      <w:tr w:rsidR="00CA505E" w:rsidRPr="00BB6C49" w:rsidTr="00B33CE9">
        <w:trPr>
          <w:trHeight w:val="296"/>
        </w:trPr>
        <w:tc>
          <w:tcPr>
            <w:tcW w:w="2410" w:type="dxa"/>
            <w:vMerge w:val="restart"/>
            <w:tcBorders>
              <w:left w:val="double" w:sz="4" w:space="0" w:color="auto"/>
            </w:tcBorders>
            <w:shd w:val="clear" w:color="auto" w:fill="auto"/>
            <w:vAlign w:val="center"/>
          </w:tcPr>
          <w:p w:rsidR="00CA505E" w:rsidRPr="00BB6C49" w:rsidRDefault="00CA505E" w:rsidP="00B33CE9">
            <w:pPr>
              <w:spacing w:line="38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評價指標</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A505E" w:rsidRPr="00BB6C49" w:rsidRDefault="00CA505E" w:rsidP="00B33CE9">
            <w:pPr>
              <w:spacing w:line="34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受評單位</w:t>
            </w:r>
          </w:p>
        </w:tc>
        <w:tc>
          <w:tcPr>
            <w:tcW w:w="6663" w:type="dxa"/>
            <w:gridSpan w:val="2"/>
            <w:tcBorders>
              <w:top w:val="single" w:sz="4" w:space="0" w:color="auto"/>
              <w:left w:val="single" w:sz="4" w:space="0" w:color="auto"/>
              <w:right w:val="single" w:sz="4" w:space="0" w:color="auto"/>
            </w:tcBorders>
            <w:vAlign w:val="center"/>
          </w:tcPr>
          <w:p w:rsidR="00CA505E" w:rsidRPr="00BB6C49" w:rsidRDefault="00CA505E" w:rsidP="00B33CE9">
            <w:pPr>
              <w:spacing w:line="340" w:lineRule="exact"/>
              <w:jc w:val="center"/>
              <w:rPr>
                <w:rFonts w:ascii="Calibri" w:eastAsia="標楷體" w:hAnsi="Calibri"/>
                <w:color w:val="000000" w:themeColor="text1"/>
                <w:sz w:val="28"/>
              </w:rPr>
            </w:pPr>
            <w:r w:rsidRPr="00BB6C49">
              <w:rPr>
                <w:rFonts w:ascii="Times New Roman" w:eastAsia="標楷體" w:hAnsi="Times New Roman" w:cs="Times New Roman" w:hint="eastAsia"/>
                <w:color w:val="000000" w:themeColor="text1"/>
                <w:sz w:val="28"/>
                <w:szCs w:val="28"/>
              </w:rPr>
              <w:t>受評</w:t>
            </w:r>
            <w:r w:rsidRPr="00BB6C49">
              <w:rPr>
                <w:rFonts w:ascii="Calibri" w:eastAsia="標楷體" w:hAnsi="Calibri" w:hint="eastAsia"/>
                <w:color w:val="000000" w:themeColor="text1"/>
                <w:sz w:val="28"/>
              </w:rPr>
              <w:t>機關</w:t>
            </w:r>
          </w:p>
        </w:tc>
        <w:tc>
          <w:tcPr>
            <w:tcW w:w="5244" w:type="dxa"/>
            <w:gridSpan w:val="2"/>
            <w:tcBorders>
              <w:left w:val="single" w:sz="4" w:space="0" w:color="auto"/>
              <w:right w:val="doub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主管機關</w:t>
            </w:r>
          </w:p>
        </w:tc>
      </w:tr>
      <w:tr w:rsidR="00CA505E" w:rsidRPr="00BB6C49" w:rsidTr="00B33CE9">
        <w:trPr>
          <w:trHeight w:val="70"/>
        </w:trPr>
        <w:tc>
          <w:tcPr>
            <w:tcW w:w="2410" w:type="dxa"/>
            <w:vMerge/>
            <w:tcBorders>
              <w:left w:val="double" w:sz="4" w:space="0" w:color="auto"/>
              <w:bottom w:val="double" w:sz="4" w:space="0" w:color="auto"/>
            </w:tcBorders>
            <w:shd w:val="clear" w:color="auto" w:fill="auto"/>
            <w:vAlign w:val="center"/>
          </w:tcPr>
          <w:p w:rsidR="00CA505E" w:rsidRPr="00BB6C49" w:rsidRDefault="00CA505E" w:rsidP="00B33CE9">
            <w:pPr>
              <w:spacing w:line="380" w:lineRule="exact"/>
              <w:jc w:val="center"/>
              <w:rPr>
                <w:rFonts w:ascii="Calibri" w:eastAsia="標楷體" w:hAnsi="Calibri"/>
                <w:color w:val="000000" w:themeColor="text1"/>
                <w:sz w:val="28"/>
              </w:rPr>
            </w:pPr>
          </w:p>
        </w:tc>
        <w:tc>
          <w:tcPr>
            <w:tcW w:w="1134" w:type="dxa"/>
            <w:tcBorders>
              <w:top w:val="single" w:sz="4" w:space="0" w:color="auto"/>
              <w:left w:val="single" w:sz="4" w:space="0" w:color="auto"/>
              <w:bottom w:val="double" w:sz="4" w:space="0" w:color="auto"/>
              <w:right w:val="single" w:sz="4" w:space="0" w:color="auto"/>
            </w:tcBorders>
            <w:vAlign w:val="center"/>
          </w:tcPr>
          <w:p w:rsidR="00CA505E" w:rsidRPr="00BB6C49" w:rsidRDefault="00CA505E" w:rsidP="00B33CE9">
            <w:pPr>
              <w:spacing w:line="34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分數</w:t>
            </w:r>
          </w:p>
        </w:tc>
        <w:tc>
          <w:tcPr>
            <w:tcW w:w="5528" w:type="dxa"/>
            <w:tcBorders>
              <w:top w:val="single" w:sz="4" w:space="0" w:color="auto"/>
              <w:left w:val="single" w:sz="4" w:space="0" w:color="auto"/>
              <w:bottom w:val="double" w:sz="4" w:space="0" w:color="auto"/>
              <w:right w:val="sing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說明</w:t>
            </w:r>
            <w:r w:rsidRPr="00BB6C49">
              <w:rPr>
                <w:rFonts w:ascii="Calibri" w:eastAsia="標楷體" w:hAnsi="Calibri" w:hint="eastAsia"/>
                <w:color w:val="000000" w:themeColor="text1"/>
              </w:rPr>
              <w:t>（如需檢附相關佐證資料，請另列附表）</w:t>
            </w:r>
          </w:p>
        </w:tc>
        <w:tc>
          <w:tcPr>
            <w:tcW w:w="1418" w:type="dxa"/>
            <w:tcBorders>
              <w:left w:val="single" w:sz="4" w:space="0" w:color="auto"/>
              <w:bottom w:val="double" w:sz="4" w:space="0" w:color="auto"/>
              <w:right w:val="sing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rPr>
            </w:pPr>
            <w:r w:rsidRPr="00BB6C49">
              <w:rPr>
                <w:rFonts w:ascii="Calibri" w:eastAsia="標楷體" w:hAnsi="Calibri" w:hint="eastAsia"/>
                <w:color w:val="000000" w:themeColor="text1"/>
                <w:sz w:val="28"/>
              </w:rPr>
              <w:t>初評分數</w:t>
            </w:r>
          </w:p>
        </w:tc>
        <w:tc>
          <w:tcPr>
            <w:tcW w:w="5245" w:type="dxa"/>
            <w:tcBorders>
              <w:left w:val="single" w:sz="4" w:space="0" w:color="auto"/>
              <w:bottom w:val="double" w:sz="4" w:space="0" w:color="auto"/>
              <w:right w:val="sing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rPr>
            </w:pPr>
            <w:r w:rsidRPr="00BB6C49">
              <w:rPr>
                <w:rFonts w:ascii="Calibri" w:eastAsia="標楷體" w:hAnsi="Calibri" w:hint="eastAsia"/>
                <w:color w:val="000000" w:themeColor="text1"/>
                <w:sz w:val="28"/>
              </w:rPr>
              <w:t>說明</w:t>
            </w:r>
          </w:p>
        </w:tc>
        <w:tc>
          <w:tcPr>
            <w:tcW w:w="1417" w:type="dxa"/>
            <w:tcBorders>
              <w:left w:val="single" w:sz="4" w:space="0" w:color="auto"/>
              <w:bottom w:val="double" w:sz="4" w:space="0" w:color="auto"/>
              <w:right w:val="sing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sz w:val="28"/>
              </w:rPr>
            </w:pPr>
            <w:proofErr w:type="gramStart"/>
            <w:r w:rsidRPr="00BB6C49">
              <w:rPr>
                <w:rFonts w:ascii="Calibri" w:eastAsia="標楷體" w:hAnsi="Calibri" w:hint="eastAsia"/>
                <w:color w:val="000000" w:themeColor="text1"/>
                <w:sz w:val="28"/>
              </w:rPr>
              <w:t>複</w:t>
            </w:r>
            <w:proofErr w:type="gramEnd"/>
            <w:r w:rsidRPr="00BB6C49">
              <w:rPr>
                <w:rFonts w:ascii="Calibri" w:eastAsia="標楷體" w:hAnsi="Calibri" w:hint="eastAsia"/>
                <w:color w:val="000000" w:themeColor="text1"/>
                <w:sz w:val="28"/>
              </w:rPr>
              <w:t>評分數</w:t>
            </w:r>
          </w:p>
        </w:tc>
        <w:tc>
          <w:tcPr>
            <w:tcW w:w="3827" w:type="dxa"/>
            <w:tcBorders>
              <w:left w:val="single" w:sz="4" w:space="0" w:color="auto"/>
              <w:bottom w:val="double" w:sz="4" w:space="0" w:color="auto"/>
              <w:right w:val="double" w:sz="4" w:space="0" w:color="auto"/>
            </w:tcBorders>
            <w:vAlign w:val="center"/>
          </w:tcPr>
          <w:p w:rsidR="00CA505E" w:rsidRPr="00BB6C49" w:rsidRDefault="00CA505E" w:rsidP="00B33CE9">
            <w:pPr>
              <w:spacing w:line="380" w:lineRule="exact"/>
              <w:jc w:val="center"/>
              <w:rPr>
                <w:rFonts w:ascii="Calibri" w:eastAsia="標楷體" w:hAnsi="Calibri"/>
                <w:color w:val="000000" w:themeColor="text1"/>
                <w:sz w:val="28"/>
              </w:rPr>
            </w:pPr>
            <w:r w:rsidRPr="00BB6C49">
              <w:rPr>
                <w:rFonts w:ascii="Calibri" w:eastAsia="標楷體" w:hAnsi="Calibri" w:hint="eastAsia"/>
                <w:color w:val="000000" w:themeColor="text1"/>
                <w:sz w:val="28"/>
              </w:rPr>
              <w:t>說明</w:t>
            </w:r>
          </w:p>
        </w:tc>
      </w:tr>
      <w:tr w:rsidR="00CA505E" w:rsidRPr="00BB6C49" w:rsidTr="00B33CE9">
        <w:trPr>
          <w:trHeight w:val="794"/>
        </w:trPr>
        <w:tc>
          <w:tcPr>
            <w:tcW w:w="2410" w:type="dxa"/>
            <w:tcBorders>
              <w:top w:val="double" w:sz="4" w:space="0" w:color="auto"/>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1.</w:t>
            </w:r>
            <w:r w:rsidRPr="00BB6C49">
              <w:rPr>
                <w:rFonts w:ascii="Calibri" w:eastAsia="標楷體" w:hAnsi="Calibri"/>
                <w:color w:val="000000" w:themeColor="text1"/>
                <w:sz w:val="28"/>
              </w:rPr>
              <w:t>專業教育與證照必要性</w:t>
            </w:r>
          </w:p>
        </w:tc>
        <w:tc>
          <w:tcPr>
            <w:tcW w:w="1134" w:type="dxa"/>
            <w:tcBorders>
              <w:top w:val="double" w:sz="4" w:space="0" w:color="auto"/>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top w:val="double" w:sz="4" w:space="0" w:color="auto"/>
              <w:left w:val="single" w:sz="4" w:space="0" w:color="auto"/>
              <w:right w:val="single" w:sz="4" w:space="0" w:color="auto"/>
            </w:tcBorders>
          </w:tcPr>
          <w:p w:rsidR="00CA505E" w:rsidRPr="00BB6C49" w:rsidRDefault="00CA505E" w:rsidP="00B33CE9">
            <w:pPr>
              <w:ind w:right="480"/>
              <w:rPr>
                <w:rFonts w:ascii="標楷體" w:eastAsia="標楷體" w:hAnsi="標楷體"/>
                <w:color w:val="000000" w:themeColor="text1"/>
                <w:szCs w:val="24"/>
              </w:rPr>
            </w:pPr>
          </w:p>
        </w:tc>
        <w:tc>
          <w:tcPr>
            <w:tcW w:w="1418" w:type="dxa"/>
            <w:tcBorders>
              <w:top w:val="double" w:sz="4" w:space="0" w:color="auto"/>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top w:val="double" w:sz="4" w:space="0" w:color="auto"/>
              <w:left w:val="single" w:sz="4" w:space="0" w:color="auto"/>
              <w:right w:val="single" w:sz="4" w:space="0" w:color="auto"/>
            </w:tcBorders>
          </w:tcPr>
          <w:p w:rsidR="00CA505E" w:rsidRPr="008045ED" w:rsidRDefault="00CA505E" w:rsidP="00B33CE9">
            <w:pPr>
              <w:jc w:val="right"/>
              <w:rPr>
                <w:rFonts w:ascii="標楷體" w:eastAsia="標楷體" w:hAnsi="標楷體"/>
                <w:color w:val="000000" w:themeColor="text1"/>
                <w:szCs w:val="24"/>
              </w:rPr>
            </w:pPr>
          </w:p>
        </w:tc>
        <w:tc>
          <w:tcPr>
            <w:tcW w:w="1417" w:type="dxa"/>
            <w:tcBorders>
              <w:top w:val="double" w:sz="4" w:space="0" w:color="auto"/>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top w:val="double" w:sz="4" w:space="0" w:color="auto"/>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2.</w:t>
            </w:r>
            <w:r w:rsidRPr="00BB6C49">
              <w:rPr>
                <w:rFonts w:ascii="Calibri" w:eastAsia="標楷體" w:hAnsi="Calibri"/>
                <w:color w:val="000000" w:themeColor="text1"/>
                <w:sz w:val="28"/>
              </w:rPr>
              <w:t>專業知能內容變化度</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3.</w:t>
            </w:r>
            <w:r w:rsidRPr="00BB6C49">
              <w:rPr>
                <w:rFonts w:ascii="Calibri" w:eastAsia="標楷體" w:hAnsi="Calibri"/>
                <w:color w:val="000000" w:themeColor="text1"/>
                <w:sz w:val="28"/>
              </w:rPr>
              <w:t>工作運用裁量判斷力</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top w:val="single" w:sz="4" w:space="0" w:color="auto"/>
              <w:left w:val="double" w:sz="4" w:space="0" w:color="auto"/>
            </w:tcBorders>
            <w:shd w:val="clear" w:color="auto" w:fill="auto"/>
            <w:vAlign w:val="center"/>
          </w:tcPr>
          <w:p w:rsidR="00CA505E" w:rsidRPr="00BB6C49" w:rsidRDefault="00CA505E" w:rsidP="00B33CE9">
            <w:pPr>
              <w:widowControl/>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4.</w:t>
            </w:r>
            <w:r w:rsidRPr="00BB6C49">
              <w:rPr>
                <w:rFonts w:ascii="Calibri" w:eastAsia="標楷體" w:hAnsi="Calibri"/>
                <w:color w:val="000000" w:themeColor="text1"/>
                <w:sz w:val="28"/>
              </w:rPr>
              <w:t>特定體能與心理狀態必要性</w:t>
            </w:r>
          </w:p>
        </w:tc>
        <w:tc>
          <w:tcPr>
            <w:tcW w:w="1134" w:type="dxa"/>
            <w:tcBorders>
              <w:left w:val="single" w:sz="4" w:space="0" w:color="auto"/>
              <w:right w:val="sing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widowControl/>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5.</w:t>
            </w:r>
            <w:r w:rsidRPr="00BB6C49">
              <w:rPr>
                <w:rFonts w:ascii="Calibri" w:eastAsia="標楷體" w:hAnsi="Calibri"/>
                <w:color w:val="000000" w:themeColor="text1"/>
                <w:sz w:val="28"/>
              </w:rPr>
              <w:t>適用工作法規變動度</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b/>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6.</w:t>
            </w:r>
            <w:r w:rsidRPr="00BB6C49">
              <w:rPr>
                <w:rFonts w:ascii="Calibri" w:eastAsia="標楷體" w:hAnsi="Calibri"/>
                <w:color w:val="000000" w:themeColor="text1"/>
                <w:sz w:val="28"/>
              </w:rPr>
              <w:t>對民眾</w:t>
            </w:r>
            <w:r w:rsidRPr="00BB6C49">
              <w:rPr>
                <w:rFonts w:ascii="Calibri" w:eastAsia="標楷體" w:hAnsi="Calibri" w:hint="eastAsia"/>
                <w:color w:val="000000" w:themeColor="text1"/>
                <w:sz w:val="28"/>
              </w:rPr>
              <w:t>安全與社會</w:t>
            </w:r>
            <w:r w:rsidRPr="00BB6C49">
              <w:rPr>
                <w:rFonts w:ascii="Calibri" w:eastAsia="標楷體" w:hAnsi="Calibri"/>
                <w:color w:val="000000" w:themeColor="text1"/>
                <w:sz w:val="28"/>
              </w:rPr>
              <w:t>福祉影響性</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widowControl/>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7.</w:t>
            </w:r>
            <w:r w:rsidRPr="00BB6C49">
              <w:rPr>
                <w:rFonts w:ascii="Calibri" w:eastAsia="標楷體" w:hAnsi="Calibri" w:hint="eastAsia"/>
                <w:color w:val="000000" w:themeColor="text1"/>
                <w:sz w:val="28"/>
              </w:rPr>
              <w:t>行政行為複雜性</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8.</w:t>
            </w:r>
            <w:r w:rsidRPr="00BB6C49">
              <w:rPr>
                <w:rFonts w:ascii="Calibri" w:eastAsia="標楷體" w:hAnsi="Calibri"/>
                <w:color w:val="000000" w:themeColor="text1"/>
                <w:sz w:val="28"/>
              </w:rPr>
              <w:t>工作的市場價值性</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9.</w:t>
            </w:r>
            <w:r w:rsidRPr="00BB6C49">
              <w:rPr>
                <w:rFonts w:ascii="Calibri" w:eastAsia="標楷體" w:hAnsi="Calibri"/>
                <w:color w:val="000000" w:themeColor="text1"/>
                <w:sz w:val="28"/>
              </w:rPr>
              <w:t>新進人力遴選困難度</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tcBorders>
            <w:shd w:val="clear" w:color="auto" w:fill="auto"/>
            <w:vAlign w:val="center"/>
          </w:tcPr>
          <w:p w:rsidR="00CA505E" w:rsidRPr="00BB6C49" w:rsidRDefault="00CA505E" w:rsidP="00B33CE9">
            <w:pPr>
              <w:spacing w:line="400" w:lineRule="exact"/>
              <w:ind w:left="280" w:hangingChars="100" w:hanging="280"/>
              <w:jc w:val="both"/>
              <w:rPr>
                <w:rFonts w:ascii="Calibri" w:eastAsia="標楷體" w:hAnsi="Calibri"/>
                <w:color w:val="000000" w:themeColor="text1"/>
                <w:sz w:val="28"/>
              </w:rPr>
            </w:pPr>
            <w:r w:rsidRPr="00BB6C49">
              <w:rPr>
                <w:rFonts w:ascii="Calibri" w:eastAsia="標楷體" w:hAnsi="Calibri" w:hint="eastAsia"/>
                <w:color w:val="000000" w:themeColor="text1"/>
                <w:sz w:val="28"/>
              </w:rPr>
              <w:t>10.</w:t>
            </w:r>
            <w:r w:rsidRPr="00BB6C49">
              <w:rPr>
                <w:rFonts w:ascii="Calibri" w:eastAsia="標楷體" w:hAnsi="Calibri"/>
                <w:color w:val="000000" w:themeColor="text1"/>
                <w:sz w:val="28"/>
              </w:rPr>
              <w:t>現有人力流失率</w:t>
            </w:r>
          </w:p>
        </w:tc>
        <w:tc>
          <w:tcPr>
            <w:tcW w:w="1134"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52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8"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5245" w:type="dxa"/>
            <w:tcBorders>
              <w:left w:val="single" w:sz="4" w:space="0" w:color="auto"/>
              <w:bottom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1417" w:type="dxa"/>
            <w:tcBorders>
              <w:left w:val="single" w:sz="4" w:space="0" w:color="auto"/>
              <w:right w:val="single" w:sz="4" w:space="0" w:color="auto"/>
            </w:tcBorders>
          </w:tcPr>
          <w:p w:rsidR="00CA505E" w:rsidRPr="00BB6C49" w:rsidRDefault="00CA505E" w:rsidP="00B33CE9">
            <w:pPr>
              <w:jc w:val="right"/>
              <w:rPr>
                <w:rFonts w:ascii="標楷體" w:eastAsia="標楷體" w:hAnsi="標楷體"/>
                <w:color w:val="000000" w:themeColor="text1"/>
                <w:szCs w:val="24"/>
              </w:rPr>
            </w:pPr>
          </w:p>
        </w:tc>
        <w:tc>
          <w:tcPr>
            <w:tcW w:w="3827" w:type="dxa"/>
            <w:tcBorders>
              <w:left w:val="single" w:sz="4" w:space="0" w:color="auto"/>
              <w:bottom w:val="single" w:sz="4" w:space="0" w:color="auto"/>
              <w:right w:val="double" w:sz="4" w:space="0" w:color="auto"/>
            </w:tcBorders>
          </w:tcPr>
          <w:p w:rsidR="00CA505E" w:rsidRPr="00BB6C49" w:rsidRDefault="00CA505E" w:rsidP="00B33CE9">
            <w:pPr>
              <w:jc w:val="right"/>
              <w:rPr>
                <w:rFonts w:ascii="標楷體" w:eastAsia="標楷體" w:hAnsi="標楷體"/>
                <w:color w:val="000000" w:themeColor="text1"/>
                <w:szCs w:val="24"/>
              </w:rPr>
            </w:pPr>
          </w:p>
        </w:tc>
      </w:tr>
      <w:tr w:rsidR="00CA505E" w:rsidRPr="00BB6C49" w:rsidTr="00B33CE9">
        <w:trPr>
          <w:trHeight w:val="794"/>
        </w:trPr>
        <w:tc>
          <w:tcPr>
            <w:tcW w:w="2410" w:type="dxa"/>
            <w:tcBorders>
              <w:left w:val="double" w:sz="4" w:space="0" w:color="auto"/>
              <w:bottom w:val="double" w:sz="4" w:space="0" w:color="auto"/>
            </w:tcBorders>
            <w:shd w:val="clear" w:color="auto" w:fill="auto"/>
            <w:vAlign w:val="center"/>
          </w:tcPr>
          <w:p w:rsidR="00CA505E" w:rsidRPr="00BB6C49" w:rsidRDefault="00CA505E" w:rsidP="00B33CE9">
            <w:pPr>
              <w:spacing w:line="400" w:lineRule="exact"/>
              <w:jc w:val="both"/>
              <w:rPr>
                <w:rFonts w:ascii="Calibri" w:eastAsia="標楷體" w:hAnsi="Calibri"/>
                <w:b/>
                <w:color w:val="000000" w:themeColor="text1"/>
                <w:sz w:val="28"/>
              </w:rPr>
            </w:pPr>
            <w:r w:rsidRPr="00BB6C49">
              <w:rPr>
                <w:rFonts w:ascii="Calibri" w:eastAsia="標楷體" w:hAnsi="Calibri" w:hint="eastAsia"/>
                <w:b/>
                <w:color w:val="000000" w:themeColor="text1"/>
                <w:sz w:val="28"/>
              </w:rPr>
              <w:t>總分</w:t>
            </w:r>
          </w:p>
        </w:tc>
        <w:tc>
          <w:tcPr>
            <w:tcW w:w="1134" w:type="dxa"/>
            <w:tcBorders>
              <w:left w:val="single" w:sz="4" w:space="0" w:color="auto"/>
              <w:bottom w:val="doub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5528" w:type="dxa"/>
            <w:tcBorders>
              <w:left w:val="single" w:sz="4" w:space="0" w:color="auto"/>
              <w:bottom w:val="double" w:sz="4" w:space="0" w:color="auto"/>
              <w:right w:val="single" w:sz="4" w:space="0" w:color="auto"/>
              <w:tl2br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1418" w:type="dxa"/>
            <w:tcBorders>
              <w:left w:val="single" w:sz="4" w:space="0" w:color="auto"/>
              <w:bottom w:val="doub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5245" w:type="dxa"/>
            <w:tcBorders>
              <w:left w:val="single" w:sz="4" w:space="0" w:color="auto"/>
              <w:bottom w:val="double" w:sz="4" w:space="0" w:color="auto"/>
              <w:right w:val="single" w:sz="4" w:space="0" w:color="auto"/>
              <w:tl2br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1417" w:type="dxa"/>
            <w:tcBorders>
              <w:left w:val="single" w:sz="4" w:space="0" w:color="auto"/>
              <w:bottom w:val="double" w:sz="4" w:space="0" w:color="auto"/>
              <w:right w:val="single" w:sz="4" w:space="0" w:color="auto"/>
            </w:tcBorders>
          </w:tcPr>
          <w:p w:rsidR="00CA505E" w:rsidRPr="00BB6C49" w:rsidRDefault="00CA505E" w:rsidP="00B33CE9">
            <w:pPr>
              <w:jc w:val="right"/>
              <w:rPr>
                <w:rFonts w:ascii="標楷體" w:eastAsia="標楷體" w:hAnsi="標楷體"/>
                <w:b/>
                <w:color w:val="000000" w:themeColor="text1"/>
                <w:szCs w:val="24"/>
              </w:rPr>
            </w:pPr>
          </w:p>
        </w:tc>
        <w:tc>
          <w:tcPr>
            <w:tcW w:w="3827" w:type="dxa"/>
            <w:tcBorders>
              <w:left w:val="single" w:sz="4" w:space="0" w:color="auto"/>
              <w:bottom w:val="double" w:sz="4" w:space="0" w:color="auto"/>
              <w:right w:val="double" w:sz="4" w:space="0" w:color="auto"/>
              <w:tl2br w:val="single" w:sz="4" w:space="0" w:color="auto"/>
            </w:tcBorders>
          </w:tcPr>
          <w:p w:rsidR="00CA505E" w:rsidRPr="00BB6C49" w:rsidRDefault="00CA505E" w:rsidP="00B33CE9">
            <w:pPr>
              <w:jc w:val="right"/>
              <w:rPr>
                <w:rFonts w:ascii="標楷體" w:eastAsia="標楷體" w:hAnsi="標楷體"/>
                <w:b/>
                <w:color w:val="000000" w:themeColor="text1"/>
                <w:szCs w:val="24"/>
              </w:rPr>
            </w:pPr>
          </w:p>
        </w:tc>
      </w:tr>
    </w:tbl>
    <w:p w:rsidR="00CA505E" w:rsidRPr="00BB6C49" w:rsidRDefault="00CA505E" w:rsidP="00CA505E">
      <w:pPr>
        <w:spacing w:line="500" w:lineRule="exact"/>
        <w:jc w:val="both"/>
        <w:rPr>
          <w:rFonts w:eastAsia="標楷體"/>
          <w:color w:val="000000" w:themeColor="text1"/>
          <w:sz w:val="28"/>
          <w:szCs w:val="28"/>
        </w:rPr>
      </w:pPr>
      <w:r w:rsidRPr="00BB6C49">
        <w:rPr>
          <w:rFonts w:eastAsia="標楷體" w:hint="eastAsia"/>
          <w:color w:val="000000" w:themeColor="text1"/>
          <w:sz w:val="28"/>
          <w:szCs w:val="28"/>
        </w:rPr>
        <w:t>其他建議：</w:t>
      </w:r>
      <w:r w:rsidRPr="00BB6C49">
        <w:rPr>
          <w:rFonts w:eastAsia="標楷體" w:hint="eastAsia"/>
          <w:color w:val="000000" w:themeColor="text1"/>
          <w:sz w:val="28"/>
          <w:szCs w:val="28"/>
        </w:rPr>
        <w:t xml:space="preserve"> </w:t>
      </w:r>
    </w:p>
    <w:p w:rsidR="00CA505E" w:rsidRPr="00BB6C49" w:rsidRDefault="00CA505E" w:rsidP="00CA505E">
      <w:pPr>
        <w:spacing w:line="500" w:lineRule="exact"/>
        <w:jc w:val="both"/>
        <w:rPr>
          <w:rFonts w:eastAsia="標楷體"/>
          <w:color w:val="000000" w:themeColor="text1"/>
          <w:sz w:val="28"/>
          <w:szCs w:val="28"/>
        </w:rPr>
      </w:pPr>
    </w:p>
    <w:p w:rsidR="00CA505E" w:rsidRPr="00BB6C49" w:rsidRDefault="00CA505E" w:rsidP="00CA505E">
      <w:pPr>
        <w:spacing w:line="400" w:lineRule="exact"/>
        <w:jc w:val="both"/>
        <w:rPr>
          <w:rFonts w:eastAsia="標楷體"/>
          <w:color w:val="000000" w:themeColor="text1"/>
          <w:sz w:val="28"/>
          <w:szCs w:val="28"/>
        </w:rPr>
      </w:pPr>
      <w:r w:rsidRPr="00BB6C49">
        <w:rPr>
          <w:rFonts w:eastAsia="標楷體" w:hint="eastAsia"/>
          <w:color w:val="000000" w:themeColor="text1"/>
          <w:sz w:val="28"/>
          <w:szCs w:val="28"/>
        </w:rPr>
        <w:t>填表說明：</w:t>
      </w:r>
      <w:r w:rsidRPr="00BB6C49">
        <w:rPr>
          <w:rFonts w:eastAsia="標楷體" w:hint="eastAsia"/>
          <w:color w:val="000000" w:themeColor="text1"/>
          <w:sz w:val="28"/>
          <w:szCs w:val="28"/>
        </w:rPr>
        <w:t>1.</w:t>
      </w:r>
      <w:proofErr w:type="gramStart"/>
      <w:r w:rsidRPr="00BB6C49">
        <w:rPr>
          <w:rFonts w:eastAsia="標楷體" w:hint="eastAsia"/>
          <w:color w:val="000000" w:themeColor="text1"/>
          <w:sz w:val="28"/>
          <w:szCs w:val="28"/>
        </w:rPr>
        <w:t>本表各欄位</w:t>
      </w:r>
      <w:proofErr w:type="gramEnd"/>
      <w:r w:rsidRPr="00BB6C49">
        <w:rPr>
          <w:rFonts w:eastAsia="標楷體" w:hint="eastAsia"/>
          <w:color w:val="000000" w:themeColor="text1"/>
          <w:sz w:val="28"/>
          <w:szCs w:val="28"/>
        </w:rPr>
        <w:t>（含評價指標各項衡量基準及分數區間）請依後附自</w:t>
      </w:r>
      <w:proofErr w:type="gramStart"/>
      <w:r w:rsidRPr="00BB6C49">
        <w:rPr>
          <w:rFonts w:eastAsia="標楷體" w:hint="eastAsia"/>
          <w:color w:val="000000" w:themeColor="text1"/>
          <w:sz w:val="28"/>
          <w:szCs w:val="28"/>
        </w:rPr>
        <w:t>評表細</w:t>
      </w:r>
      <w:proofErr w:type="gramEnd"/>
      <w:r w:rsidRPr="00BB6C49">
        <w:rPr>
          <w:rFonts w:eastAsia="標楷體" w:hint="eastAsia"/>
          <w:color w:val="000000" w:themeColor="text1"/>
          <w:sz w:val="28"/>
          <w:szCs w:val="28"/>
        </w:rPr>
        <w:t>項說明逐一填列。</w:t>
      </w:r>
    </w:p>
    <w:p w:rsidR="00CA505E" w:rsidRPr="00BB6C49" w:rsidRDefault="00CA505E" w:rsidP="00CA505E">
      <w:pPr>
        <w:widowControl/>
        <w:spacing w:line="400" w:lineRule="exact"/>
        <w:ind w:firstLineChars="500" w:firstLine="1400"/>
        <w:rPr>
          <w:rFonts w:eastAsia="標楷體"/>
          <w:color w:val="000000" w:themeColor="text1"/>
          <w:sz w:val="28"/>
          <w:szCs w:val="28"/>
        </w:rPr>
        <w:sectPr w:rsidR="00CA505E" w:rsidRPr="00BB6C49" w:rsidSect="004A71FF">
          <w:footerReference w:type="default" r:id="rId9"/>
          <w:footnotePr>
            <w:numFmt w:val="lowerRoman"/>
          </w:footnotePr>
          <w:pgSz w:w="23814" w:h="16839" w:orient="landscape" w:code="8"/>
          <w:pgMar w:top="1800" w:right="1440" w:bottom="1800" w:left="1440" w:header="851" w:footer="992" w:gutter="0"/>
          <w:cols w:space="425"/>
          <w:docGrid w:type="lines" w:linePitch="360"/>
        </w:sectPr>
      </w:pPr>
      <w:r w:rsidRPr="00BB6C49">
        <w:rPr>
          <w:rFonts w:eastAsia="標楷體" w:hint="eastAsia"/>
          <w:color w:val="000000" w:themeColor="text1"/>
          <w:sz w:val="28"/>
          <w:szCs w:val="28"/>
        </w:rPr>
        <w:t>2.</w:t>
      </w:r>
      <w:r w:rsidRPr="00BB6C49">
        <w:rPr>
          <w:rFonts w:eastAsia="標楷體" w:hint="eastAsia"/>
          <w:color w:val="000000" w:themeColor="text1"/>
          <w:sz w:val="28"/>
          <w:szCs w:val="28"/>
        </w:rPr>
        <w:t>本表係主管機關辦理自</w:t>
      </w:r>
      <w:r>
        <w:rPr>
          <w:rFonts w:eastAsia="標楷體" w:hint="eastAsia"/>
          <w:color w:val="000000" w:themeColor="text1"/>
          <w:sz w:val="28"/>
          <w:szCs w:val="28"/>
        </w:rPr>
        <w:t>評作業使用，請各受評機關及其主管機關填列後留存，</w:t>
      </w:r>
      <w:proofErr w:type="gramStart"/>
      <w:r>
        <w:rPr>
          <w:rFonts w:eastAsia="標楷體" w:hint="eastAsia"/>
          <w:color w:val="000000" w:themeColor="text1"/>
          <w:sz w:val="28"/>
          <w:szCs w:val="28"/>
        </w:rPr>
        <w:t>勿函送人事總</w:t>
      </w:r>
      <w:proofErr w:type="gramEnd"/>
      <w:r>
        <w:rPr>
          <w:rFonts w:eastAsia="標楷體" w:hint="eastAsia"/>
          <w:color w:val="000000" w:themeColor="text1"/>
          <w:sz w:val="28"/>
          <w:szCs w:val="28"/>
        </w:rPr>
        <w:t>處</w:t>
      </w:r>
    </w:p>
    <w:p w:rsidR="002379BE" w:rsidRPr="00BB6C49" w:rsidRDefault="00BA3656" w:rsidP="00BA3656">
      <w:pPr>
        <w:spacing w:line="360" w:lineRule="exact"/>
        <w:jc w:val="both"/>
        <w:rPr>
          <w:rFonts w:eastAsia="標楷體"/>
          <w:b/>
          <w:color w:val="000000" w:themeColor="text1"/>
          <w:sz w:val="28"/>
          <w:szCs w:val="26"/>
        </w:rPr>
      </w:pPr>
      <w:bookmarkStart w:id="0" w:name="_GoBack"/>
      <w:bookmarkEnd w:id="0"/>
      <w:r w:rsidRPr="00BB6C49">
        <w:rPr>
          <w:rFonts w:eastAsia="標楷體" w:hint="eastAsia"/>
          <w:b/>
          <w:color w:val="000000" w:themeColor="text1"/>
          <w:sz w:val="28"/>
          <w:szCs w:val="26"/>
        </w:rPr>
        <w:lastRenderedPageBreak/>
        <w:t>自評表細項說明</w:t>
      </w:r>
      <w:r w:rsidR="000852E3" w:rsidRPr="00BB6C49">
        <w:rPr>
          <w:rFonts w:eastAsia="標楷體" w:hint="eastAsia"/>
          <w:b/>
          <w:color w:val="000000" w:themeColor="text1"/>
          <w:sz w:val="28"/>
          <w:szCs w:val="26"/>
        </w:rPr>
        <w:t>：</w:t>
      </w:r>
    </w:p>
    <w:p w:rsidR="000852E3" w:rsidRPr="00BB6C49" w:rsidRDefault="00BA3656" w:rsidP="00BA3656">
      <w:pPr>
        <w:spacing w:line="360" w:lineRule="exact"/>
        <w:ind w:left="520" w:hangingChars="200" w:hanging="520"/>
        <w:jc w:val="both"/>
        <w:rPr>
          <w:rFonts w:eastAsia="標楷體"/>
          <w:color w:val="000000" w:themeColor="text1"/>
          <w:sz w:val="26"/>
          <w:szCs w:val="26"/>
        </w:rPr>
      </w:pPr>
      <w:r w:rsidRPr="00BB6C49">
        <w:rPr>
          <w:rFonts w:eastAsia="標楷體" w:hint="eastAsia"/>
          <w:color w:val="000000" w:themeColor="text1"/>
          <w:sz w:val="26"/>
          <w:szCs w:val="26"/>
        </w:rPr>
        <w:t>一、</w:t>
      </w:r>
      <w:r w:rsidR="000852E3" w:rsidRPr="00BB6C49">
        <w:rPr>
          <w:rFonts w:eastAsia="標楷體" w:hint="eastAsia"/>
          <w:color w:val="000000" w:themeColor="text1"/>
          <w:sz w:val="26"/>
          <w:szCs w:val="26"/>
        </w:rPr>
        <w:t>各受評</w:t>
      </w:r>
      <w:proofErr w:type="gramStart"/>
      <w:r w:rsidR="000852E3" w:rsidRPr="00BB6C49">
        <w:rPr>
          <w:rFonts w:eastAsia="標楷體" w:hint="eastAsia"/>
          <w:color w:val="000000" w:themeColor="text1"/>
          <w:sz w:val="26"/>
          <w:szCs w:val="26"/>
        </w:rPr>
        <w:t>單位均應填</w:t>
      </w:r>
      <w:proofErr w:type="gramEnd"/>
      <w:r w:rsidR="000852E3" w:rsidRPr="00BB6C49">
        <w:rPr>
          <w:rFonts w:eastAsia="標楷體" w:hint="eastAsia"/>
          <w:color w:val="000000" w:themeColor="text1"/>
          <w:sz w:val="26"/>
          <w:szCs w:val="26"/>
        </w:rPr>
        <w:t>具</w:t>
      </w:r>
      <w:r w:rsidR="000852E3" w:rsidRPr="00BB6C49">
        <w:rPr>
          <w:rFonts w:eastAsia="標楷體" w:hint="eastAsia"/>
          <w:color w:val="000000" w:themeColor="text1"/>
          <w:sz w:val="26"/>
          <w:szCs w:val="26"/>
        </w:rPr>
        <w:t>1</w:t>
      </w:r>
      <w:r w:rsidR="000852E3" w:rsidRPr="00BB6C49">
        <w:rPr>
          <w:rFonts w:eastAsia="標楷體" w:hint="eastAsia"/>
          <w:color w:val="000000" w:themeColor="text1"/>
          <w:sz w:val="26"/>
          <w:szCs w:val="26"/>
        </w:rPr>
        <w:t>張</w:t>
      </w:r>
      <w:proofErr w:type="gramStart"/>
      <w:r w:rsidR="000852E3" w:rsidRPr="00BB6C49">
        <w:rPr>
          <w:rFonts w:eastAsia="標楷體" w:hint="eastAsia"/>
          <w:color w:val="000000" w:themeColor="text1"/>
          <w:sz w:val="26"/>
          <w:szCs w:val="26"/>
        </w:rPr>
        <w:t>自評表</w:t>
      </w:r>
      <w:proofErr w:type="gramEnd"/>
      <w:r w:rsidR="000852E3" w:rsidRPr="00BB6C49">
        <w:rPr>
          <w:rFonts w:eastAsia="標楷體" w:hint="eastAsia"/>
          <w:color w:val="000000" w:themeColor="text1"/>
          <w:sz w:val="26"/>
          <w:szCs w:val="26"/>
        </w:rPr>
        <w:t>，經初評機關確認後，送交主管機關進行</w:t>
      </w:r>
      <w:proofErr w:type="gramStart"/>
      <w:r w:rsidR="000852E3" w:rsidRPr="00BB6C49">
        <w:rPr>
          <w:rFonts w:eastAsia="標楷體" w:hint="eastAsia"/>
          <w:color w:val="000000" w:themeColor="text1"/>
          <w:sz w:val="26"/>
          <w:szCs w:val="26"/>
        </w:rPr>
        <w:t>複</w:t>
      </w:r>
      <w:proofErr w:type="gramEnd"/>
      <w:r w:rsidR="000852E3" w:rsidRPr="00BB6C49">
        <w:rPr>
          <w:rFonts w:eastAsia="標楷體" w:hint="eastAsia"/>
          <w:color w:val="000000" w:themeColor="text1"/>
          <w:sz w:val="26"/>
          <w:szCs w:val="26"/>
        </w:rPr>
        <w:t>評作業。</w:t>
      </w:r>
    </w:p>
    <w:p w:rsidR="008B678B" w:rsidRPr="00BB6C49" w:rsidRDefault="00BA3656" w:rsidP="00BA3656">
      <w:pPr>
        <w:spacing w:line="360" w:lineRule="exact"/>
        <w:ind w:left="390" w:hangingChars="150" w:hanging="390"/>
        <w:jc w:val="both"/>
        <w:rPr>
          <w:rFonts w:eastAsia="標楷體"/>
          <w:color w:val="000000" w:themeColor="text1"/>
          <w:sz w:val="26"/>
          <w:szCs w:val="26"/>
        </w:rPr>
      </w:pPr>
      <w:r w:rsidRPr="00BB6C49">
        <w:rPr>
          <w:rFonts w:eastAsia="標楷體" w:hint="eastAsia"/>
          <w:color w:val="000000" w:themeColor="text1"/>
          <w:sz w:val="26"/>
          <w:szCs w:val="26"/>
        </w:rPr>
        <w:t>二、</w:t>
      </w:r>
      <w:r w:rsidR="008B678B" w:rsidRPr="00BB6C49">
        <w:rPr>
          <w:rFonts w:eastAsia="標楷體" w:hint="eastAsia"/>
          <w:color w:val="000000" w:themeColor="text1"/>
          <w:sz w:val="26"/>
          <w:szCs w:val="26"/>
        </w:rPr>
        <w:t>各評價指標之衡量基準及分數區間如下表：</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819"/>
        <w:gridCol w:w="1560"/>
      </w:tblGrid>
      <w:tr w:rsidR="00E84338" w:rsidRPr="00BB6C49" w:rsidTr="00D2151F">
        <w:trPr>
          <w:trHeight w:val="340"/>
        </w:trPr>
        <w:tc>
          <w:tcPr>
            <w:tcW w:w="1418"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jc w:val="center"/>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評價指標</w:t>
            </w:r>
          </w:p>
        </w:tc>
        <w:tc>
          <w:tcPr>
            <w:tcW w:w="6379" w:type="dxa"/>
            <w:gridSpan w:val="2"/>
            <w:tcBorders>
              <w:top w:val="double" w:sz="4"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center"/>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評分說明</w:t>
            </w:r>
          </w:p>
        </w:tc>
      </w:tr>
      <w:tr w:rsidR="00D2151F" w:rsidRPr="00BB6C49" w:rsidTr="00D2151F">
        <w:trPr>
          <w:trHeight w:val="340"/>
        </w:trPr>
        <w:tc>
          <w:tcPr>
            <w:tcW w:w="1418" w:type="dxa"/>
            <w:vMerge/>
            <w:tcBorders>
              <w:top w:val="single" w:sz="2" w:space="0" w:color="auto"/>
              <w:left w:val="double" w:sz="4" w:space="0" w:color="auto"/>
              <w:bottom w:val="double" w:sz="4" w:space="0" w:color="auto"/>
              <w:right w:val="single" w:sz="2" w:space="0" w:color="auto"/>
            </w:tcBorders>
            <w:shd w:val="clear" w:color="auto" w:fill="auto"/>
            <w:vAlign w:val="center"/>
          </w:tcPr>
          <w:p w:rsidR="008B678B" w:rsidRPr="00BB6C49" w:rsidRDefault="008B678B" w:rsidP="00BA3656">
            <w:pPr>
              <w:spacing w:line="360" w:lineRule="exact"/>
              <w:jc w:val="center"/>
              <w:rPr>
                <w:rFonts w:ascii="標楷體" w:eastAsia="標楷體" w:hAnsi="標楷體"/>
                <w:color w:val="000000" w:themeColor="text1"/>
                <w:sz w:val="26"/>
                <w:szCs w:val="26"/>
              </w:rPr>
            </w:pPr>
          </w:p>
        </w:tc>
        <w:tc>
          <w:tcPr>
            <w:tcW w:w="4819" w:type="dxa"/>
            <w:tcBorders>
              <w:top w:val="single" w:sz="2" w:space="0" w:color="auto"/>
              <w:left w:val="single" w:sz="2" w:space="0" w:color="auto"/>
              <w:bottom w:val="double" w:sz="4" w:space="0" w:color="auto"/>
              <w:right w:val="single" w:sz="2" w:space="0" w:color="auto"/>
            </w:tcBorders>
            <w:vAlign w:val="center"/>
          </w:tcPr>
          <w:p w:rsidR="008B678B" w:rsidRPr="00BB6C49" w:rsidRDefault="008B678B" w:rsidP="00BA3656">
            <w:pPr>
              <w:spacing w:line="360" w:lineRule="exact"/>
              <w:jc w:val="center"/>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衡量基準</w:t>
            </w:r>
          </w:p>
        </w:tc>
        <w:tc>
          <w:tcPr>
            <w:tcW w:w="1560" w:type="dxa"/>
            <w:tcBorders>
              <w:top w:val="single" w:sz="2" w:space="0" w:color="auto"/>
              <w:left w:val="single" w:sz="2" w:space="0" w:color="auto"/>
              <w:bottom w:val="double" w:sz="4" w:space="0" w:color="auto"/>
              <w:right w:val="double" w:sz="4" w:space="0" w:color="auto"/>
            </w:tcBorders>
            <w:vAlign w:val="center"/>
          </w:tcPr>
          <w:p w:rsidR="008B678B" w:rsidRPr="00BB6C49" w:rsidRDefault="008B678B" w:rsidP="00BA3656">
            <w:pPr>
              <w:spacing w:line="360" w:lineRule="exact"/>
              <w:jc w:val="center"/>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分數區間</w:t>
            </w:r>
          </w:p>
        </w:tc>
      </w:tr>
      <w:tr w:rsidR="00D2151F" w:rsidRPr="00BB6C49" w:rsidTr="00D2151F">
        <w:trPr>
          <w:trHeight w:val="340"/>
        </w:trPr>
        <w:tc>
          <w:tcPr>
            <w:tcW w:w="1418"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1</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專業教育與證照必要性</w:t>
            </w:r>
          </w:p>
        </w:tc>
        <w:tc>
          <w:tcPr>
            <w:tcW w:w="4819" w:type="dxa"/>
            <w:tcBorders>
              <w:top w:val="double" w:sz="4"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Chars="-15" w:left="-36"/>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本單位工作須具特定專業領域</w:t>
            </w:r>
            <w:r w:rsidRPr="00BB6C49">
              <w:rPr>
                <w:rFonts w:ascii="標楷體" w:eastAsia="標楷體" w:hAnsi="標楷體" w:hint="eastAsia"/>
                <w:color w:val="000000" w:themeColor="text1"/>
                <w:sz w:val="26"/>
                <w:szCs w:val="26"/>
              </w:rPr>
              <w:t>大專以上</w:t>
            </w:r>
            <w:r w:rsidRPr="00BB6C49">
              <w:rPr>
                <w:rFonts w:ascii="標楷體" w:eastAsia="標楷體" w:hAnsi="標楷體"/>
                <w:color w:val="000000" w:themeColor="text1"/>
                <w:sz w:val="26"/>
                <w:szCs w:val="26"/>
              </w:rPr>
              <w:t>教育學歷，且須取得國家專技證照</w:t>
            </w:r>
          </w:p>
        </w:tc>
        <w:tc>
          <w:tcPr>
            <w:tcW w:w="1560" w:type="dxa"/>
            <w:tcBorders>
              <w:top w:val="double" w:sz="4"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91~100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Chars="-15" w:left="-36"/>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本單位工作須具特定專業領域</w:t>
            </w:r>
            <w:r w:rsidRPr="00BB6C49">
              <w:rPr>
                <w:rFonts w:ascii="標楷體" w:eastAsia="標楷體" w:hAnsi="標楷體" w:hint="eastAsia"/>
                <w:color w:val="000000" w:themeColor="text1"/>
                <w:sz w:val="26"/>
                <w:szCs w:val="26"/>
              </w:rPr>
              <w:t>大專以上</w:t>
            </w:r>
            <w:r w:rsidRPr="00BB6C49">
              <w:rPr>
                <w:rFonts w:ascii="標楷體" w:eastAsia="標楷體" w:hAnsi="標楷體"/>
                <w:color w:val="000000" w:themeColor="text1"/>
                <w:sz w:val="26"/>
                <w:szCs w:val="26"/>
              </w:rPr>
              <w:t>教育學歷，並有國家專技證照為宜</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81~90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本單位工作須具特定專業領域</w:t>
            </w:r>
            <w:r w:rsidRPr="00BB6C49">
              <w:rPr>
                <w:rFonts w:ascii="標楷體" w:eastAsia="標楷體" w:hAnsi="標楷體" w:hint="eastAsia"/>
                <w:color w:val="000000" w:themeColor="text1"/>
                <w:sz w:val="26"/>
                <w:szCs w:val="26"/>
              </w:rPr>
              <w:t>大專以上</w:t>
            </w:r>
            <w:r w:rsidRPr="00BB6C49">
              <w:rPr>
                <w:rFonts w:ascii="標楷體" w:eastAsia="標楷體" w:hAnsi="標楷體"/>
                <w:color w:val="000000" w:themeColor="text1"/>
                <w:sz w:val="26"/>
                <w:szCs w:val="26"/>
              </w:rPr>
              <w:t>教育學歷</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61~80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本單位工作須具備</w:t>
            </w:r>
            <w:r w:rsidRPr="00BB6C49">
              <w:rPr>
                <w:rFonts w:ascii="標楷體" w:eastAsia="標楷體" w:hAnsi="標楷體" w:hint="eastAsia"/>
                <w:color w:val="000000" w:themeColor="text1"/>
                <w:sz w:val="26"/>
                <w:szCs w:val="26"/>
              </w:rPr>
              <w:t>大專以上</w:t>
            </w:r>
            <w:r w:rsidRPr="00BB6C49">
              <w:rPr>
                <w:rFonts w:ascii="標楷體" w:eastAsia="標楷體" w:hAnsi="標楷體"/>
                <w:color w:val="000000" w:themeColor="text1"/>
                <w:sz w:val="26"/>
                <w:szCs w:val="26"/>
              </w:rPr>
              <w:t>教育學歷</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41~60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本單位工作無須具</w:t>
            </w:r>
            <w:r w:rsidRPr="00BB6C49">
              <w:rPr>
                <w:rFonts w:ascii="標楷體" w:eastAsia="標楷體" w:hAnsi="標楷體" w:hint="eastAsia"/>
                <w:color w:val="000000" w:themeColor="text1"/>
                <w:sz w:val="26"/>
                <w:szCs w:val="26"/>
              </w:rPr>
              <w:t>大專以上</w:t>
            </w:r>
            <w:r w:rsidRPr="00BB6C49">
              <w:rPr>
                <w:rFonts w:ascii="標楷體" w:eastAsia="標楷體" w:hAnsi="標楷體"/>
                <w:color w:val="000000" w:themeColor="text1"/>
                <w:sz w:val="26"/>
                <w:szCs w:val="26"/>
              </w:rPr>
              <w:t>教育學歷</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0~40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2</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專業知能內容變化度</w:t>
            </w: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本單位工作所需的重要專業學理知識或工作技術（指非法規條文，含國際標準）每兩年間常有不少更動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91~100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本單位工作所需的重要專業學理知識或工作技術多數在五年內有不少更動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71~90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本單位工作所需的重要專業學理知識多數在五年間是很少有更動，但工作技術面有較多更動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51~70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本單位工作所需的重要專業學理知識和工作技術多數在五年間是很少有更動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31~50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本單位工作所需的重要專業學理知識或工作技術多數在十年間是很少有更動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0~30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3</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工作運用裁量判斷力</w:t>
            </w: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2" w:hangingChars="1" w:hanging="2"/>
              <w:jc w:val="both"/>
              <w:rPr>
                <w:rFonts w:ascii="標楷體" w:eastAsia="標楷體" w:hAnsi="標楷體"/>
                <w:color w:val="000000" w:themeColor="text1"/>
                <w:spacing w:val="-6"/>
                <w:sz w:val="26"/>
                <w:szCs w:val="26"/>
              </w:rPr>
            </w:pPr>
            <w:r w:rsidRPr="00BB6C49">
              <w:rPr>
                <w:rFonts w:ascii="標楷體" w:eastAsia="標楷體" w:hAnsi="標楷體"/>
                <w:color w:val="000000" w:themeColor="text1"/>
                <w:spacing w:val="-6"/>
                <w:sz w:val="26"/>
                <w:szCs w:val="26"/>
              </w:rPr>
              <w:t>本單位工作過程上需高度運用個人專業知能的判斷處理，難高度依循標準作業程序</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91~100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3" w:hangingChars="1" w:hanging="3"/>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本單位工作過程上多數需依賴個人專業知能的判斷處理，</w:t>
            </w:r>
            <w:proofErr w:type="gramStart"/>
            <w:r w:rsidRPr="00BB6C49">
              <w:rPr>
                <w:rFonts w:ascii="標楷體" w:eastAsia="標楷體" w:hAnsi="標楷體"/>
                <w:color w:val="000000" w:themeColor="text1"/>
                <w:sz w:val="26"/>
                <w:szCs w:val="26"/>
              </w:rPr>
              <w:t>僅少部分</w:t>
            </w:r>
            <w:proofErr w:type="gramEnd"/>
            <w:r w:rsidRPr="00BB6C49">
              <w:rPr>
                <w:rFonts w:ascii="標楷體" w:eastAsia="標楷體" w:hAnsi="標楷體"/>
                <w:color w:val="000000" w:themeColor="text1"/>
                <w:sz w:val="26"/>
                <w:szCs w:val="26"/>
              </w:rPr>
              <w:t>可依循標準作業程序處理</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61~90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3" w:hangingChars="1" w:hanging="3"/>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本單位工作過程上少部分需依賴個人專業知能的判斷處理，但多數仍可依循標準作業程序處理</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31~60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80" w:lineRule="exact"/>
              <w:ind w:left="3" w:hangingChars="1" w:hanging="3"/>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本單位工作過程上大多數是依循標準作業程序處理</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0~30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widowControl/>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lastRenderedPageBreak/>
              <w:t>4</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特定體能與心理狀態必要性</w:t>
            </w: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本單位工作須同時具備特殊體能條件和心理特質，方可充分因應工作之需</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widowControl/>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81~100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widowControl/>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本單位工作須具備特殊體能條件或心理特質，方可充分因應工作之需</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widowControl/>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51~80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widowControl/>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本單位工作無須要求具備特殊體能條件或心理特質，大致上即可因應</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widowControl/>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0~50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5</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適用工作法規變動度</w:t>
            </w: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本單位工作適用的法律條文實質內容更動比例極為頻繁</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8</w:t>
            </w:r>
            <w:r w:rsidRPr="00BB6C49">
              <w:rPr>
                <w:rFonts w:ascii="標楷體" w:eastAsia="標楷體" w:hAnsi="標楷體" w:hint="eastAsia"/>
                <w:color w:val="000000" w:themeColor="text1"/>
                <w:sz w:val="26"/>
                <w:szCs w:val="26"/>
              </w:rPr>
              <w:t>1</w:t>
            </w:r>
            <w:r w:rsidRPr="00BB6C49">
              <w:rPr>
                <w:rFonts w:ascii="標楷體" w:eastAsia="標楷體" w:hAnsi="標楷體"/>
                <w:color w:val="000000" w:themeColor="text1"/>
                <w:sz w:val="26"/>
                <w:szCs w:val="26"/>
              </w:rPr>
              <w:t>~100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本單位工作適用的法律內容更動不頻繁，但法規命令內容或作業流程每</w:t>
            </w:r>
            <w:proofErr w:type="gramStart"/>
            <w:r w:rsidRPr="00BB6C49">
              <w:rPr>
                <w:rFonts w:ascii="標楷體" w:eastAsia="標楷體" w:hAnsi="標楷體"/>
                <w:color w:val="000000" w:themeColor="text1"/>
                <w:sz w:val="26"/>
                <w:szCs w:val="26"/>
              </w:rPr>
              <w:t>年間均有相當</w:t>
            </w:r>
            <w:proofErr w:type="gramEnd"/>
            <w:r w:rsidRPr="00BB6C49">
              <w:rPr>
                <w:rFonts w:ascii="標楷體" w:eastAsia="標楷體" w:hAnsi="標楷體"/>
                <w:color w:val="000000" w:themeColor="text1"/>
                <w:sz w:val="26"/>
                <w:szCs w:val="26"/>
              </w:rPr>
              <w:t>更動的比例</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71~</w:t>
            </w:r>
            <w:r w:rsidRPr="00BB6C49">
              <w:rPr>
                <w:rFonts w:ascii="標楷體" w:eastAsia="標楷體" w:hAnsi="標楷體" w:hint="eastAsia"/>
                <w:color w:val="000000" w:themeColor="text1"/>
                <w:sz w:val="26"/>
                <w:szCs w:val="26"/>
              </w:rPr>
              <w:t>80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本單位工作適用的法律內容更動不頻繁，但法規命令內容或作業流程每三年間更動比例不低</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51~70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本單位工作適用的法律內容更動不頻繁，多數法規命令內容或作業流程在五年內也少有更動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41~50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本單位工作適用的法律內容更動不頻繁，多數法規命令內容或作業流程在十年內也僅偶有更動</w:t>
            </w:r>
          </w:p>
        </w:tc>
        <w:tc>
          <w:tcPr>
            <w:tcW w:w="1560" w:type="dxa"/>
            <w:tcBorders>
              <w:top w:val="single" w:sz="2" w:space="0" w:color="auto"/>
              <w:left w:val="single" w:sz="2" w:space="0" w:color="auto"/>
              <w:bottom w:val="single" w:sz="2" w:space="0" w:color="auto"/>
              <w:right w:val="double" w:sz="4" w:space="0" w:color="auto"/>
            </w:tcBorders>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0~40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6</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color w:val="000000" w:themeColor="text1"/>
                <w:sz w:val="26"/>
                <w:szCs w:val="26"/>
              </w:rPr>
              <w:t>對民眾</w:t>
            </w:r>
            <w:r w:rsidR="008B678B" w:rsidRPr="00BB6C49">
              <w:rPr>
                <w:rFonts w:ascii="標楷體" w:eastAsia="標楷體" w:hAnsi="標楷體" w:hint="eastAsia"/>
                <w:color w:val="000000" w:themeColor="text1"/>
                <w:sz w:val="26"/>
                <w:szCs w:val="26"/>
              </w:rPr>
              <w:t>安全與社會</w:t>
            </w:r>
            <w:r w:rsidR="008B678B" w:rsidRPr="00BB6C49">
              <w:rPr>
                <w:rFonts w:ascii="標楷體" w:eastAsia="標楷體" w:hAnsi="標楷體"/>
                <w:color w:val="000000" w:themeColor="text1"/>
                <w:sz w:val="26"/>
                <w:szCs w:val="26"/>
              </w:rPr>
              <w:t>福祉影響性</w:t>
            </w: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本單位工作的核心事項是保障民眾生命、人身安全或財產安全</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81~100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本單位工作的核心事項與國家發展（安全）的重大利益具有高度相關</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6</w:t>
            </w:r>
            <w:r w:rsidRPr="00BB6C49">
              <w:rPr>
                <w:rFonts w:ascii="標楷體" w:eastAsia="標楷體" w:hAnsi="標楷體" w:hint="eastAsia"/>
                <w:color w:val="000000" w:themeColor="text1"/>
                <w:sz w:val="26"/>
                <w:szCs w:val="26"/>
              </w:rPr>
              <w:t>1</w:t>
            </w:r>
            <w:r w:rsidRPr="00BB6C49">
              <w:rPr>
                <w:rFonts w:ascii="標楷體" w:eastAsia="標楷體" w:hAnsi="標楷體"/>
                <w:color w:val="000000" w:themeColor="text1"/>
                <w:sz w:val="26"/>
                <w:szCs w:val="26"/>
              </w:rPr>
              <w:t>~80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本單位工作提供民眾、社會或企業的一般性公共服務</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5</w:t>
            </w:r>
            <w:r w:rsidRPr="00BB6C49">
              <w:rPr>
                <w:rFonts w:ascii="標楷體" w:eastAsia="標楷體" w:hAnsi="標楷體" w:hint="eastAsia"/>
                <w:color w:val="000000" w:themeColor="text1"/>
                <w:sz w:val="26"/>
                <w:szCs w:val="26"/>
              </w:rPr>
              <w:t>1</w:t>
            </w:r>
            <w:r w:rsidRPr="00BB6C49">
              <w:rPr>
                <w:rFonts w:ascii="標楷體" w:eastAsia="標楷體" w:hAnsi="標楷體"/>
                <w:color w:val="000000" w:themeColor="text1"/>
                <w:sz w:val="26"/>
                <w:szCs w:val="26"/>
              </w:rPr>
              <w:t>~</w:t>
            </w:r>
            <w:r w:rsidRPr="00BB6C49">
              <w:rPr>
                <w:rFonts w:ascii="標楷體" w:eastAsia="標楷體" w:hAnsi="標楷體" w:hint="eastAsia"/>
                <w:color w:val="000000" w:themeColor="text1"/>
                <w:sz w:val="26"/>
                <w:szCs w:val="26"/>
              </w:rPr>
              <w:t>60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本單位工作未直接提供或部分提供</w:t>
            </w:r>
            <w:r w:rsidRPr="00BB6C49">
              <w:rPr>
                <w:rFonts w:ascii="標楷體" w:eastAsia="標楷體" w:hAnsi="標楷體"/>
                <w:color w:val="000000" w:themeColor="text1"/>
                <w:sz w:val="26"/>
                <w:szCs w:val="26"/>
              </w:rPr>
              <w:t>民眾、社會或企業的一般性公共服務</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0~50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787198" w:rsidP="00BA3656">
            <w:pPr>
              <w:widowControl/>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7</w:t>
            </w:r>
            <w:r w:rsidR="00CB3CAB" w:rsidRPr="00BB6C49">
              <w:rPr>
                <w:rFonts w:ascii="標楷體" w:eastAsia="標楷體" w:hAnsi="標楷體" w:hint="eastAsia"/>
                <w:color w:val="000000" w:themeColor="text1"/>
                <w:sz w:val="26"/>
                <w:szCs w:val="26"/>
              </w:rPr>
              <w:t>.</w:t>
            </w:r>
            <w:r w:rsidR="008B678B" w:rsidRPr="00BB6C49">
              <w:rPr>
                <w:rFonts w:ascii="標楷體" w:eastAsia="標楷體" w:hAnsi="標楷體" w:hint="eastAsia"/>
                <w:color w:val="000000" w:themeColor="text1"/>
                <w:sz w:val="26"/>
                <w:szCs w:val="26"/>
              </w:rPr>
              <w:t>行政行為複雜性</w:t>
            </w: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本單位主要工作</w:t>
            </w:r>
            <w:r w:rsidRPr="00BB6C49">
              <w:rPr>
                <w:rFonts w:ascii="標楷體" w:eastAsia="標楷體" w:hAnsi="標楷體" w:hint="eastAsia"/>
                <w:color w:val="000000" w:themeColor="text1"/>
                <w:sz w:val="26"/>
                <w:szCs w:val="26"/>
              </w:rPr>
              <w:t>係</w:t>
            </w:r>
            <w:r w:rsidRPr="00BB6C49">
              <w:rPr>
                <w:rFonts w:ascii="標楷體" w:eastAsia="標楷體" w:hAnsi="標楷體"/>
                <w:color w:val="000000" w:themeColor="text1"/>
                <w:sz w:val="26"/>
                <w:szCs w:val="26"/>
              </w:rPr>
              <w:t>負責</w:t>
            </w:r>
            <w:r w:rsidRPr="00BB6C49">
              <w:rPr>
                <w:rFonts w:ascii="標楷體" w:eastAsia="標楷體" w:hAnsi="標楷體" w:hint="eastAsia"/>
                <w:color w:val="000000" w:themeColor="text1"/>
                <w:sz w:val="26"/>
                <w:szCs w:val="26"/>
              </w:rPr>
              <w:t>跨機關業務協調溝通、政策規劃、法令</w:t>
            </w:r>
            <w:proofErr w:type="gramStart"/>
            <w:r w:rsidRPr="00BB6C49">
              <w:rPr>
                <w:rFonts w:ascii="標楷體" w:eastAsia="標楷體" w:hAnsi="標楷體" w:hint="eastAsia"/>
                <w:color w:val="000000" w:themeColor="text1"/>
                <w:sz w:val="26"/>
                <w:szCs w:val="26"/>
              </w:rPr>
              <w:t>訂頒及解釋</w:t>
            </w:r>
            <w:proofErr w:type="gramEnd"/>
            <w:r w:rsidRPr="00BB6C49">
              <w:rPr>
                <w:rFonts w:ascii="標楷體" w:eastAsia="標楷體" w:hAnsi="標楷體" w:hint="eastAsia"/>
                <w:color w:val="000000" w:themeColor="text1"/>
                <w:sz w:val="26"/>
                <w:szCs w:val="26"/>
              </w:rPr>
              <w:t>等事項</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71~</w:t>
            </w:r>
            <w:r w:rsidRPr="00BB6C49">
              <w:rPr>
                <w:rFonts w:ascii="標楷體" w:eastAsia="標楷體" w:hAnsi="標楷體" w:hint="eastAsia"/>
                <w:color w:val="000000" w:themeColor="text1"/>
                <w:sz w:val="26"/>
                <w:szCs w:val="26"/>
              </w:rPr>
              <w:t>10</w:t>
            </w:r>
            <w:r w:rsidRPr="00BB6C49">
              <w:rPr>
                <w:rFonts w:ascii="標楷體" w:eastAsia="標楷體" w:hAnsi="標楷體"/>
                <w:color w:val="000000" w:themeColor="text1"/>
                <w:sz w:val="26"/>
                <w:szCs w:val="26"/>
              </w:rPr>
              <w:t>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widowControl/>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本單位主要工作</w:t>
            </w:r>
            <w:r w:rsidRPr="00BB6C49">
              <w:rPr>
                <w:rFonts w:ascii="標楷體" w:eastAsia="標楷體" w:hAnsi="標楷體" w:hint="eastAsia"/>
                <w:color w:val="000000" w:themeColor="text1"/>
                <w:sz w:val="26"/>
                <w:szCs w:val="26"/>
              </w:rPr>
              <w:t>係</w:t>
            </w:r>
            <w:r w:rsidRPr="00BB6C49">
              <w:rPr>
                <w:rFonts w:ascii="標楷體" w:eastAsia="標楷體" w:hAnsi="標楷體"/>
                <w:color w:val="000000" w:themeColor="text1"/>
                <w:sz w:val="26"/>
                <w:szCs w:val="26"/>
              </w:rPr>
              <w:t>負責</w:t>
            </w:r>
            <w:r w:rsidRPr="00BB6C49">
              <w:rPr>
                <w:rFonts w:ascii="標楷體" w:eastAsia="標楷體" w:hAnsi="標楷體" w:hint="eastAsia"/>
                <w:color w:val="000000" w:themeColor="text1"/>
                <w:sz w:val="26"/>
                <w:szCs w:val="26"/>
              </w:rPr>
              <w:t>跨機關業務協調溝通、政策規劃、法令</w:t>
            </w:r>
            <w:proofErr w:type="gramStart"/>
            <w:r w:rsidRPr="00BB6C49">
              <w:rPr>
                <w:rFonts w:ascii="標楷體" w:eastAsia="標楷體" w:hAnsi="標楷體" w:hint="eastAsia"/>
                <w:color w:val="000000" w:themeColor="text1"/>
                <w:sz w:val="26"/>
                <w:szCs w:val="26"/>
              </w:rPr>
              <w:t>訂頒或解釋</w:t>
            </w:r>
            <w:proofErr w:type="gramEnd"/>
            <w:r w:rsidRPr="00BB6C49">
              <w:rPr>
                <w:rFonts w:ascii="標楷體" w:eastAsia="標楷體" w:hAnsi="標楷體" w:hint="eastAsia"/>
                <w:color w:val="000000" w:themeColor="text1"/>
                <w:sz w:val="26"/>
                <w:szCs w:val="26"/>
              </w:rPr>
              <w:t>等其中部分事項</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51~70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8B678B" w:rsidRPr="00BB6C49" w:rsidRDefault="008B678B" w:rsidP="00BA3656">
            <w:pPr>
              <w:widowControl/>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8B678B" w:rsidRPr="00BB6C49" w:rsidRDefault="008B678B"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本單位主要工作</w:t>
            </w:r>
            <w:r w:rsidRPr="00BB6C49">
              <w:rPr>
                <w:rFonts w:ascii="標楷體" w:eastAsia="標楷體" w:hAnsi="標楷體" w:hint="eastAsia"/>
                <w:color w:val="000000" w:themeColor="text1"/>
                <w:sz w:val="26"/>
                <w:szCs w:val="26"/>
              </w:rPr>
              <w:t>係</w:t>
            </w:r>
            <w:r w:rsidRPr="00BB6C49">
              <w:rPr>
                <w:rFonts w:ascii="標楷體" w:eastAsia="標楷體" w:hAnsi="標楷體"/>
                <w:color w:val="000000" w:themeColor="text1"/>
                <w:sz w:val="26"/>
                <w:szCs w:val="26"/>
              </w:rPr>
              <w:t>負責</w:t>
            </w:r>
            <w:r w:rsidRPr="00BB6C49">
              <w:rPr>
                <w:rFonts w:ascii="標楷體" w:eastAsia="標楷體" w:hAnsi="標楷體" w:hint="eastAsia"/>
                <w:color w:val="000000" w:themeColor="text1"/>
                <w:sz w:val="26"/>
                <w:szCs w:val="26"/>
              </w:rPr>
              <w:t>政策、法令之執行或</w:t>
            </w:r>
            <w:r w:rsidRPr="00BB6C49">
              <w:rPr>
                <w:rFonts w:ascii="標楷體" w:eastAsia="標楷體" w:hAnsi="標楷體"/>
                <w:color w:val="000000" w:themeColor="text1"/>
                <w:sz w:val="26"/>
                <w:szCs w:val="26"/>
              </w:rPr>
              <w:t>機關</w:t>
            </w:r>
            <w:r w:rsidRPr="00BB6C49">
              <w:rPr>
                <w:rFonts w:ascii="標楷體" w:eastAsia="標楷體" w:hAnsi="標楷體" w:hint="eastAsia"/>
                <w:color w:val="000000" w:themeColor="text1"/>
                <w:sz w:val="26"/>
                <w:szCs w:val="26"/>
              </w:rPr>
              <w:t>內部管理事項</w:t>
            </w:r>
          </w:p>
        </w:tc>
        <w:tc>
          <w:tcPr>
            <w:tcW w:w="1560" w:type="dxa"/>
            <w:tcBorders>
              <w:top w:val="single" w:sz="2" w:space="0" w:color="auto"/>
              <w:left w:val="single" w:sz="2" w:space="0" w:color="auto"/>
              <w:bottom w:val="single" w:sz="2" w:space="0" w:color="auto"/>
              <w:right w:val="double" w:sz="4" w:space="0" w:color="auto"/>
            </w:tcBorders>
            <w:vAlign w:val="center"/>
          </w:tcPr>
          <w:p w:rsidR="008B678B" w:rsidRPr="00BB6C49" w:rsidRDefault="008B678B"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0~50</w:t>
            </w:r>
          </w:p>
        </w:tc>
      </w:tr>
      <w:tr w:rsidR="00D2151F" w:rsidRPr="00BB6C49" w:rsidTr="004D0BFC">
        <w:trPr>
          <w:trHeight w:val="340"/>
        </w:trPr>
        <w:tc>
          <w:tcPr>
            <w:tcW w:w="1418" w:type="dxa"/>
            <w:vMerge w:val="restart"/>
            <w:tcBorders>
              <w:top w:val="single" w:sz="2" w:space="0" w:color="auto"/>
              <w:left w:val="double" w:sz="4"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8.</w:t>
            </w:r>
            <w:r w:rsidRPr="00BB6C49">
              <w:rPr>
                <w:rFonts w:ascii="標楷體" w:eastAsia="標楷體" w:hAnsi="標楷體"/>
                <w:color w:val="000000" w:themeColor="text1"/>
                <w:sz w:val="26"/>
                <w:szCs w:val="26"/>
              </w:rPr>
              <w:t>工作的市場價值性</w:t>
            </w:r>
          </w:p>
        </w:tc>
        <w:tc>
          <w:tcPr>
            <w:tcW w:w="4819" w:type="dxa"/>
            <w:tcBorders>
              <w:top w:val="single" w:sz="2" w:space="0" w:color="auto"/>
              <w:left w:val="single" w:sz="2" w:space="0" w:color="auto"/>
              <w:bottom w:val="single" w:sz="4" w:space="0" w:color="auto"/>
              <w:right w:val="single" w:sz="2" w:space="0" w:color="auto"/>
            </w:tcBorders>
          </w:tcPr>
          <w:p w:rsidR="00D2151F" w:rsidRPr="00BB6C49" w:rsidRDefault="00D2151F" w:rsidP="00D2151F">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人員全年薪資（包括俸給、獎金及其他工作性給與，以下同）</w:t>
            </w:r>
            <w:proofErr w:type="gramStart"/>
            <w:r w:rsidRPr="00BB6C49">
              <w:rPr>
                <w:rFonts w:ascii="標楷體" w:eastAsia="標楷體" w:hAnsi="標楷體"/>
                <w:color w:val="000000" w:themeColor="text1"/>
                <w:sz w:val="26"/>
                <w:szCs w:val="26"/>
              </w:rPr>
              <w:t>須較</w:t>
            </w:r>
            <w:r w:rsidRPr="00BB6C49">
              <w:rPr>
                <w:rFonts w:ascii="標楷體" w:eastAsia="標楷體" w:hAnsi="標楷體" w:hint="eastAsia"/>
                <w:color w:val="000000" w:themeColor="text1"/>
                <w:sz w:val="26"/>
                <w:szCs w:val="26"/>
              </w:rPr>
              <w:t>目前</w:t>
            </w:r>
            <w:proofErr w:type="gramEnd"/>
            <w:r w:rsidRPr="00BB6C49">
              <w:rPr>
                <w:rFonts w:ascii="標楷體" w:eastAsia="標楷體" w:hAnsi="標楷體"/>
                <w:color w:val="000000" w:themeColor="text1"/>
                <w:sz w:val="26"/>
                <w:szCs w:val="26"/>
              </w:rPr>
              <w:t>高出50%以上才有利</w:t>
            </w:r>
            <w:r w:rsidRPr="00BB6C49">
              <w:rPr>
                <w:rFonts w:ascii="標楷體" w:eastAsia="標楷體" w:hAnsi="標楷體" w:hint="eastAsia"/>
                <w:color w:val="000000" w:themeColor="text1"/>
                <w:sz w:val="26"/>
                <w:szCs w:val="26"/>
              </w:rPr>
              <w:t>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2" w:space="0" w:color="auto"/>
              <w:left w:val="single" w:sz="2" w:space="0" w:color="auto"/>
              <w:bottom w:val="single" w:sz="4"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81~100</w:t>
            </w:r>
          </w:p>
        </w:tc>
      </w:tr>
      <w:tr w:rsidR="00D2151F" w:rsidRPr="00BB6C49" w:rsidTr="004D0BFC">
        <w:trPr>
          <w:trHeight w:val="705"/>
        </w:trPr>
        <w:tc>
          <w:tcPr>
            <w:tcW w:w="1418" w:type="dxa"/>
            <w:vMerge/>
            <w:tcBorders>
              <w:left w:val="double" w:sz="4"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4" w:space="0" w:color="auto"/>
              <w:left w:val="single" w:sz="2" w:space="0" w:color="auto"/>
              <w:bottom w:val="single" w:sz="4" w:space="0" w:color="auto"/>
              <w:right w:val="single" w:sz="2" w:space="0" w:color="auto"/>
            </w:tcBorders>
          </w:tcPr>
          <w:p w:rsidR="00D2151F" w:rsidRPr="00BB6C49" w:rsidRDefault="00D2151F" w:rsidP="00D2151F">
            <w:pPr>
              <w:spacing w:line="34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w:t>
            </w:r>
            <w:proofErr w:type="gramStart"/>
            <w:r w:rsidRPr="00BB6C49">
              <w:rPr>
                <w:rFonts w:ascii="標楷體" w:eastAsia="標楷體" w:hAnsi="標楷體" w:hint="eastAsia"/>
                <w:color w:val="000000" w:themeColor="text1"/>
                <w:sz w:val="26"/>
                <w:szCs w:val="26"/>
              </w:rPr>
              <w:t>薪資</w:t>
            </w:r>
            <w:r w:rsidRPr="00BB6C49">
              <w:rPr>
                <w:rFonts w:ascii="標楷體" w:eastAsia="標楷體" w:hAnsi="標楷體"/>
                <w:color w:val="000000" w:themeColor="text1"/>
                <w:sz w:val="26"/>
                <w:szCs w:val="26"/>
              </w:rPr>
              <w:t>須較</w:t>
            </w:r>
            <w:r w:rsidRPr="00BB6C49">
              <w:rPr>
                <w:rFonts w:ascii="標楷體" w:eastAsia="標楷體" w:hAnsi="標楷體" w:hint="eastAsia"/>
                <w:color w:val="000000" w:themeColor="text1"/>
                <w:sz w:val="26"/>
                <w:szCs w:val="26"/>
              </w:rPr>
              <w:t>目前</w:t>
            </w:r>
            <w:proofErr w:type="gramEnd"/>
            <w:r w:rsidRPr="00BB6C49">
              <w:rPr>
                <w:rFonts w:ascii="標楷體" w:eastAsia="標楷體" w:hAnsi="標楷體"/>
                <w:color w:val="000000" w:themeColor="text1"/>
                <w:sz w:val="26"/>
                <w:szCs w:val="26"/>
              </w:rPr>
              <w:t>高出30~</w:t>
            </w:r>
            <w:r w:rsidRPr="00BB6C49">
              <w:rPr>
                <w:rFonts w:ascii="標楷體" w:eastAsia="標楷體" w:hAnsi="標楷體" w:hint="eastAsia"/>
                <w:color w:val="000000" w:themeColor="text1"/>
                <w:sz w:val="26"/>
                <w:szCs w:val="26"/>
              </w:rPr>
              <w:t>49</w:t>
            </w:r>
            <w:r w:rsidRPr="00BB6C49">
              <w:rPr>
                <w:rFonts w:ascii="標楷體" w:eastAsia="標楷體" w:hAnsi="標楷體"/>
                <w:color w:val="000000" w:themeColor="text1"/>
                <w:sz w:val="26"/>
                <w:szCs w:val="26"/>
              </w:rPr>
              <w:t>%才有利</w:t>
            </w:r>
            <w:r w:rsidRPr="00BB6C49">
              <w:rPr>
                <w:rFonts w:ascii="標楷體" w:eastAsia="標楷體" w:hAnsi="標楷體" w:hint="eastAsia"/>
                <w:color w:val="000000" w:themeColor="text1"/>
                <w:sz w:val="26"/>
                <w:szCs w:val="26"/>
              </w:rPr>
              <w:t>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4" w:space="0" w:color="auto"/>
              <w:left w:val="single" w:sz="2" w:space="0" w:color="auto"/>
              <w:bottom w:val="single" w:sz="4"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61~80</w:t>
            </w:r>
          </w:p>
        </w:tc>
      </w:tr>
      <w:tr w:rsidR="00D2151F" w:rsidRPr="00BB6C49" w:rsidTr="00D2151F">
        <w:trPr>
          <w:trHeight w:val="340"/>
        </w:trPr>
        <w:tc>
          <w:tcPr>
            <w:tcW w:w="1418" w:type="dxa"/>
            <w:vMerge w:val="restart"/>
            <w:tcBorders>
              <w:top w:val="single" w:sz="4"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22698B">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lastRenderedPageBreak/>
              <w:t>8.</w:t>
            </w:r>
            <w:r w:rsidRPr="00BB6C49">
              <w:rPr>
                <w:rFonts w:ascii="標楷體" w:eastAsia="標楷體" w:hAnsi="標楷體"/>
                <w:color w:val="000000" w:themeColor="text1"/>
                <w:sz w:val="26"/>
                <w:szCs w:val="26"/>
              </w:rPr>
              <w:t>工作的市場價值性</w:t>
            </w:r>
          </w:p>
        </w:tc>
        <w:tc>
          <w:tcPr>
            <w:tcW w:w="4819" w:type="dxa"/>
            <w:tcBorders>
              <w:top w:val="single" w:sz="4" w:space="0" w:color="auto"/>
              <w:left w:val="single" w:sz="2" w:space="0" w:color="auto"/>
              <w:bottom w:val="single" w:sz="2" w:space="0" w:color="auto"/>
              <w:right w:val="single" w:sz="2" w:space="0" w:color="auto"/>
            </w:tcBorders>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w:t>
            </w:r>
            <w:proofErr w:type="gramStart"/>
            <w:r w:rsidRPr="00BB6C49">
              <w:rPr>
                <w:rFonts w:ascii="標楷體" w:eastAsia="標楷體" w:hAnsi="標楷體" w:hint="eastAsia"/>
                <w:color w:val="000000" w:themeColor="text1"/>
                <w:sz w:val="26"/>
                <w:szCs w:val="26"/>
              </w:rPr>
              <w:t>薪資</w:t>
            </w:r>
            <w:r w:rsidRPr="00BB6C49">
              <w:rPr>
                <w:rFonts w:ascii="標楷體" w:eastAsia="標楷體" w:hAnsi="標楷體"/>
                <w:color w:val="000000" w:themeColor="text1"/>
                <w:sz w:val="26"/>
                <w:szCs w:val="26"/>
              </w:rPr>
              <w:t>須較</w:t>
            </w:r>
            <w:r w:rsidRPr="00BB6C49">
              <w:rPr>
                <w:rFonts w:ascii="標楷體" w:eastAsia="標楷體" w:hAnsi="標楷體" w:hint="eastAsia"/>
                <w:color w:val="000000" w:themeColor="text1"/>
                <w:sz w:val="26"/>
                <w:szCs w:val="26"/>
              </w:rPr>
              <w:t>目前</w:t>
            </w:r>
            <w:proofErr w:type="gramEnd"/>
            <w:r w:rsidRPr="00BB6C49">
              <w:rPr>
                <w:rFonts w:ascii="標楷體" w:eastAsia="標楷體" w:hAnsi="標楷體"/>
                <w:color w:val="000000" w:themeColor="text1"/>
                <w:sz w:val="26"/>
                <w:szCs w:val="26"/>
              </w:rPr>
              <w:t>高出20~</w:t>
            </w:r>
            <w:r w:rsidRPr="00BB6C49">
              <w:rPr>
                <w:rFonts w:ascii="標楷體" w:eastAsia="標楷體" w:hAnsi="標楷體" w:hint="eastAsia"/>
                <w:color w:val="000000" w:themeColor="text1"/>
                <w:sz w:val="26"/>
                <w:szCs w:val="26"/>
              </w:rPr>
              <w:t>29</w:t>
            </w:r>
            <w:r w:rsidRPr="00BB6C49">
              <w:rPr>
                <w:rFonts w:ascii="標楷體" w:eastAsia="標楷體" w:hAnsi="標楷體"/>
                <w:color w:val="000000" w:themeColor="text1"/>
                <w:sz w:val="26"/>
                <w:szCs w:val="26"/>
              </w:rPr>
              <w:t>%才有利</w:t>
            </w:r>
            <w:r w:rsidRPr="00BB6C49">
              <w:rPr>
                <w:rFonts w:ascii="標楷體" w:eastAsia="標楷體" w:hAnsi="標楷體" w:hint="eastAsia"/>
                <w:color w:val="000000" w:themeColor="text1"/>
                <w:sz w:val="26"/>
                <w:szCs w:val="26"/>
              </w:rPr>
              <w:t>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2" w:space="0" w:color="auto"/>
              <w:left w:val="single" w:sz="2" w:space="0" w:color="auto"/>
              <w:bottom w:val="single" w:sz="2"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4</w:t>
            </w:r>
            <w:r w:rsidRPr="00BB6C49">
              <w:rPr>
                <w:rFonts w:ascii="標楷體" w:eastAsia="標楷體" w:hAnsi="標楷體"/>
                <w:color w:val="000000" w:themeColor="text1"/>
                <w:sz w:val="26"/>
                <w:szCs w:val="26"/>
              </w:rPr>
              <w:t>1~60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w:t>
            </w:r>
            <w:proofErr w:type="gramStart"/>
            <w:r w:rsidRPr="00BB6C49">
              <w:rPr>
                <w:rFonts w:ascii="標楷體" w:eastAsia="標楷體" w:hAnsi="標楷體" w:hint="eastAsia"/>
                <w:color w:val="000000" w:themeColor="text1"/>
                <w:sz w:val="26"/>
                <w:szCs w:val="26"/>
              </w:rPr>
              <w:t>薪資</w:t>
            </w:r>
            <w:r w:rsidRPr="00BB6C49">
              <w:rPr>
                <w:rFonts w:ascii="標楷體" w:eastAsia="標楷體" w:hAnsi="標楷體"/>
                <w:color w:val="000000" w:themeColor="text1"/>
                <w:sz w:val="26"/>
                <w:szCs w:val="26"/>
              </w:rPr>
              <w:t>須較</w:t>
            </w:r>
            <w:r w:rsidRPr="00BB6C49">
              <w:rPr>
                <w:rFonts w:ascii="標楷體" w:eastAsia="標楷體" w:hAnsi="標楷體" w:hint="eastAsia"/>
                <w:color w:val="000000" w:themeColor="text1"/>
                <w:sz w:val="26"/>
                <w:szCs w:val="26"/>
              </w:rPr>
              <w:t>目前</w:t>
            </w:r>
            <w:proofErr w:type="gramEnd"/>
            <w:r w:rsidRPr="00BB6C49">
              <w:rPr>
                <w:rFonts w:ascii="標楷體" w:eastAsia="標楷體" w:hAnsi="標楷體"/>
                <w:color w:val="000000" w:themeColor="text1"/>
                <w:sz w:val="26"/>
                <w:szCs w:val="26"/>
              </w:rPr>
              <w:t>高出10~</w:t>
            </w:r>
            <w:r w:rsidRPr="00BB6C49">
              <w:rPr>
                <w:rFonts w:ascii="標楷體" w:eastAsia="標楷體" w:hAnsi="標楷體" w:hint="eastAsia"/>
                <w:color w:val="000000" w:themeColor="text1"/>
                <w:sz w:val="26"/>
                <w:szCs w:val="26"/>
              </w:rPr>
              <w:t>19</w:t>
            </w:r>
            <w:r w:rsidRPr="00BB6C49">
              <w:rPr>
                <w:rFonts w:ascii="標楷體" w:eastAsia="標楷體" w:hAnsi="標楷體"/>
                <w:color w:val="000000" w:themeColor="text1"/>
                <w:sz w:val="26"/>
                <w:szCs w:val="26"/>
              </w:rPr>
              <w:t>%才有利</w:t>
            </w:r>
            <w:r w:rsidRPr="00BB6C49">
              <w:rPr>
                <w:rFonts w:ascii="標楷體" w:eastAsia="標楷體" w:hAnsi="標楷體" w:hint="eastAsia"/>
                <w:color w:val="000000" w:themeColor="text1"/>
                <w:sz w:val="26"/>
                <w:szCs w:val="26"/>
              </w:rPr>
              <w:t>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2" w:space="0" w:color="auto"/>
              <w:left w:val="single" w:sz="2" w:space="0" w:color="auto"/>
              <w:bottom w:val="single" w:sz="2"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2</w:t>
            </w:r>
            <w:r w:rsidRPr="00BB6C49">
              <w:rPr>
                <w:rFonts w:ascii="標楷體" w:eastAsia="標楷體" w:hAnsi="標楷體"/>
                <w:color w:val="000000" w:themeColor="text1"/>
                <w:sz w:val="26"/>
                <w:szCs w:val="26"/>
              </w:rPr>
              <w:t>1~</w:t>
            </w:r>
            <w:r w:rsidRPr="00BB6C49">
              <w:rPr>
                <w:rFonts w:ascii="標楷體" w:eastAsia="標楷體" w:hAnsi="標楷體" w:hint="eastAsia"/>
                <w:color w:val="000000" w:themeColor="text1"/>
                <w:sz w:val="26"/>
                <w:szCs w:val="26"/>
              </w:rPr>
              <w:t>4</w:t>
            </w:r>
            <w:r w:rsidRPr="00BB6C49">
              <w:rPr>
                <w:rFonts w:ascii="標楷體" w:eastAsia="標楷體" w:hAnsi="標楷體"/>
                <w:color w:val="000000" w:themeColor="text1"/>
                <w:sz w:val="26"/>
                <w:szCs w:val="26"/>
              </w:rPr>
              <w:t>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人員全年薪資</w:t>
            </w:r>
            <w:r w:rsidRPr="00BB6C49">
              <w:rPr>
                <w:rFonts w:ascii="標楷體" w:eastAsia="標楷體" w:hAnsi="標楷體"/>
                <w:color w:val="000000" w:themeColor="text1"/>
                <w:sz w:val="26"/>
                <w:szCs w:val="26"/>
              </w:rPr>
              <w:t>較</w:t>
            </w:r>
            <w:r w:rsidRPr="00BB6C49">
              <w:rPr>
                <w:rFonts w:ascii="標楷體" w:eastAsia="標楷體" w:hAnsi="標楷體" w:hint="eastAsia"/>
                <w:color w:val="000000" w:themeColor="text1"/>
                <w:sz w:val="26"/>
                <w:szCs w:val="26"/>
              </w:rPr>
              <w:t>目前</w:t>
            </w:r>
            <w:r w:rsidRPr="00BB6C49">
              <w:rPr>
                <w:rFonts w:ascii="標楷體" w:eastAsia="標楷體" w:hAnsi="標楷體"/>
                <w:color w:val="000000" w:themeColor="text1"/>
                <w:sz w:val="26"/>
                <w:szCs w:val="26"/>
              </w:rPr>
              <w:t>高出</w:t>
            </w:r>
            <w:r w:rsidRPr="00BB6C49">
              <w:rPr>
                <w:rFonts w:ascii="標楷體" w:eastAsia="標楷體" w:hAnsi="標楷體" w:hint="eastAsia"/>
                <w:color w:val="000000" w:themeColor="text1"/>
                <w:sz w:val="26"/>
                <w:szCs w:val="26"/>
              </w:rPr>
              <w:t>不到10</w:t>
            </w:r>
            <w:r w:rsidRPr="00BB6C49">
              <w:rPr>
                <w:rFonts w:ascii="標楷體" w:eastAsia="標楷體" w:hAnsi="標楷體"/>
                <w:color w:val="000000" w:themeColor="text1"/>
                <w:sz w:val="26"/>
                <w:szCs w:val="26"/>
              </w:rPr>
              <w:t>%即有利</w:t>
            </w:r>
            <w:r w:rsidRPr="00BB6C49">
              <w:rPr>
                <w:rFonts w:ascii="標楷體" w:eastAsia="標楷體" w:hAnsi="標楷體" w:hint="eastAsia"/>
                <w:color w:val="000000" w:themeColor="text1"/>
                <w:sz w:val="26"/>
                <w:szCs w:val="26"/>
              </w:rPr>
              <w:t>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2" w:space="0" w:color="auto"/>
              <w:left w:val="single" w:sz="2" w:space="0" w:color="auto"/>
              <w:bottom w:val="single" w:sz="2"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1</w:t>
            </w:r>
            <w:r w:rsidRPr="00BB6C49">
              <w:rPr>
                <w:rFonts w:ascii="標楷體" w:eastAsia="標楷體" w:hAnsi="標楷體"/>
                <w:color w:val="000000" w:themeColor="text1"/>
                <w:sz w:val="26"/>
                <w:szCs w:val="26"/>
              </w:rPr>
              <w:t>~</w:t>
            </w:r>
            <w:r w:rsidRPr="00BB6C49">
              <w:rPr>
                <w:rFonts w:ascii="標楷體" w:eastAsia="標楷體" w:hAnsi="標楷體" w:hint="eastAsia"/>
                <w:color w:val="000000" w:themeColor="text1"/>
                <w:sz w:val="26"/>
                <w:szCs w:val="26"/>
              </w:rPr>
              <w:t>20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人員全年薪資相當於目前水準即可維持</w:t>
            </w:r>
            <w:r w:rsidRPr="00BB6C49">
              <w:rPr>
                <w:rFonts w:ascii="標楷體" w:eastAsia="標楷體" w:hAnsi="標楷體"/>
                <w:color w:val="000000" w:themeColor="text1"/>
                <w:sz w:val="26"/>
                <w:szCs w:val="26"/>
              </w:rPr>
              <w:t>人力</w:t>
            </w:r>
            <w:r w:rsidRPr="00BB6C49">
              <w:rPr>
                <w:rFonts w:ascii="標楷體" w:eastAsia="標楷體" w:hAnsi="標楷體" w:hint="eastAsia"/>
                <w:color w:val="000000" w:themeColor="text1"/>
                <w:sz w:val="26"/>
                <w:szCs w:val="26"/>
              </w:rPr>
              <w:t>穩定性</w:t>
            </w:r>
          </w:p>
        </w:tc>
        <w:tc>
          <w:tcPr>
            <w:tcW w:w="1560" w:type="dxa"/>
            <w:tcBorders>
              <w:top w:val="single" w:sz="2" w:space="0" w:color="auto"/>
              <w:left w:val="single" w:sz="2" w:space="0" w:color="auto"/>
              <w:bottom w:val="single" w:sz="2" w:space="0" w:color="auto"/>
              <w:right w:val="double" w:sz="4" w:space="0" w:color="auto"/>
            </w:tcBorders>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9.</w:t>
            </w:r>
            <w:r w:rsidRPr="00BB6C49">
              <w:rPr>
                <w:rFonts w:ascii="標楷體" w:eastAsia="標楷體" w:hAnsi="標楷體"/>
                <w:color w:val="000000" w:themeColor="text1"/>
                <w:sz w:val="26"/>
                <w:szCs w:val="26"/>
              </w:rPr>
              <w:t>新進人力遴選困難度</w:t>
            </w: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pacing w:val="-6"/>
                <w:sz w:val="26"/>
                <w:szCs w:val="26"/>
              </w:rPr>
            </w:pPr>
            <w:r w:rsidRPr="00BB6C49">
              <w:rPr>
                <w:rFonts w:ascii="標楷體" w:eastAsia="標楷體" w:hAnsi="標楷體"/>
                <w:color w:val="000000" w:themeColor="text1"/>
                <w:spacing w:val="-6"/>
                <w:sz w:val="26"/>
                <w:szCs w:val="26"/>
              </w:rPr>
              <w:t>本單位</w:t>
            </w:r>
            <w:r w:rsidRPr="00BB6C49">
              <w:rPr>
                <w:rFonts w:ascii="標楷體" w:eastAsia="標楷體" w:hAnsi="標楷體" w:hint="eastAsia"/>
                <w:color w:val="000000" w:themeColor="text1"/>
                <w:spacing w:val="-6"/>
                <w:sz w:val="26"/>
                <w:szCs w:val="26"/>
              </w:rPr>
              <w:t>102年至</w:t>
            </w:r>
            <w:proofErr w:type="gramStart"/>
            <w:r w:rsidRPr="00BB6C49">
              <w:rPr>
                <w:rFonts w:ascii="標楷體" w:eastAsia="標楷體" w:hAnsi="標楷體" w:hint="eastAsia"/>
                <w:color w:val="000000" w:themeColor="text1"/>
                <w:spacing w:val="-6"/>
                <w:sz w:val="26"/>
                <w:szCs w:val="26"/>
              </w:rPr>
              <w:t>104</w:t>
            </w:r>
            <w:proofErr w:type="gramEnd"/>
            <w:r w:rsidRPr="00BB6C49">
              <w:rPr>
                <w:rFonts w:ascii="標楷體" w:eastAsia="標楷體" w:hAnsi="標楷體" w:hint="eastAsia"/>
                <w:color w:val="000000" w:themeColor="text1"/>
                <w:spacing w:val="-6"/>
                <w:sz w:val="26"/>
                <w:szCs w:val="26"/>
              </w:rPr>
              <w:t>年度</w:t>
            </w:r>
            <w:r w:rsidRPr="00BB6C49">
              <w:rPr>
                <w:rFonts w:ascii="標楷體" w:eastAsia="標楷體" w:hAnsi="標楷體"/>
                <w:color w:val="000000" w:themeColor="text1"/>
                <w:spacing w:val="-6"/>
                <w:sz w:val="26"/>
                <w:szCs w:val="26"/>
              </w:rPr>
              <w:t>國家考試</w:t>
            </w:r>
            <w:r w:rsidRPr="00BB6C49">
              <w:rPr>
                <w:rFonts w:ascii="標楷體" w:eastAsia="標楷體" w:hAnsi="標楷體" w:hint="eastAsia"/>
                <w:color w:val="000000" w:themeColor="text1"/>
                <w:spacing w:val="-6"/>
                <w:sz w:val="26"/>
                <w:szCs w:val="26"/>
              </w:rPr>
              <w:t>（高、普、初、特考，以下同）分發</w:t>
            </w:r>
            <w:r w:rsidRPr="00BB6C49">
              <w:rPr>
                <w:rFonts w:ascii="標楷體" w:eastAsia="標楷體" w:hAnsi="標楷體"/>
                <w:color w:val="000000" w:themeColor="text1"/>
                <w:spacing w:val="-6"/>
                <w:sz w:val="26"/>
                <w:szCs w:val="26"/>
              </w:rPr>
              <w:t>人員平均報到率</w:t>
            </w:r>
            <w:r w:rsidRPr="00BB6C49">
              <w:rPr>
                <w:rStyle w:val="a6"/>
                <w:rFonts w:ascii="標楷體" w:eastAsia="標楷體" w:hAnsi="標楷體"/>
                <w:color w:val="000000" w:themeColor="text1"/>
                <w:spacing w:val="-6"/>
                <w:sz w:val="26"/>
                <w:szCs w:val="26"/>
              </w:rPr>
              <w:footnoteReference w:id="1"/>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pacing w:val="-20"/>
                <w:sz w:val="26"/>
                <w:szCs w:val="26"/>
              </w:rPr>
            </w:pPr>
            <w:r w:rsidRPr="00BB6C49">
              <w:rPr>
                <w:rFonts w:ascii="標楷體" w:eastAsia="標楷體" w:hAnsi="標楷體"/>
                <w:color w:val="000000" w:themeColor="text1"/>
                <w:spacing w:val="-20"/>
                <w:sz w:val="26"/>
                <w:szCs w:val="26"/>
              </w:rPr>
              <w:t>100-</w:t>
            </w:r>
            <w:r w:rsidRPr="00BB6C49">
              <w:rPr>
                <w:rFonts w:ascii="標楷體" w:eastAsia="標楷體" w:hAnsi="標楷體" w:hint="eastAsia"/>
                <w:color w:val="000000" w:themeColor="text1"/>
                <w:spacing w:val="-20"/>
                <w:sz w:val="26"/>
                <w:szCs w:val="26"/>
              </w:rPr>
              <w:t>(</w:t>
            </w:r>
            <w:r w:rsidRPr="00BB6C49">
              <w:rPr>
                <w:rFonts w:ascii="標楷體" w:eastAsia="標楷體" w:hAnsi="標楷體"/>
                <w:color w:val="000000" w:themeColor="text1"/>
                <w:spacing w:val="-20"/>
                <w:sz w:val="26"/>
                <w:szCs w:val="26"/>
              </w:rPr>
              <w:t>報到率</w:t>
            </w:r>
            <w:r w:rsidRPr="00BB6C49">
              <w:rPr>
                <w:rFonts w:ascii="標楷體" w:eastAsia="標楷體" w:hAnsi="標楷體" w:hint="eastAsia"/>
                <w:color w:val="000000" w:themeColor="text1"/>
                <w:spacing w:val="-20"/>
                <w:sz w:val="26"/>
                <w:szCs w:val="26"/>
              </w:rPr>
              <w:t>*100)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102年至</w:t>
            </w:r>
            <w:proofErr w:type="gramStart"/>
            <w:r w:rsidRPr="00BB6C49">
              <w:rPr>
                <w:rFonts w:ascii="標楷體" w:eastAsia="標楷體" w:hAnsi="標楷體" w:hint="eastAsia"/>
                <w:color w:val="000000" w:themeColor="text1"/>
                <w:sz w:val="26"/>
                <w:szCs w:val="26"/>
              </w:rPr>
              <w:t>104</w:t>
            </w:r>
            <w:proofErr w:type="gramEnd"/>
            <w:r w:rsidRPr="00BB6C49">
              <w:rPr>
                <w:rFonts w:ascii="標楷體" w:eastAsia="標楷體" w:hAnsi="標楷體" w:hint="eastAsia"/>
                <w:color w:val="000000" w:themeColor="text1"/>
                <w:sz w:val="26"/>
                <w:szCs w:val="26"/>
              </w:rPr>
              <w:t>年度職員</w:t>
            </w:r>
            <w:proofErr w:type="gramStart"/>
            <w:r w:rsidRPr="00BB6C49">
              <w:rPr>
                <w:rFonts w:ascii="標楷體" w:eastAsia="標楷體" w:hAnsi="標楷體" w:hint="eastAsia"/>
                <w:color w:val="000000" w:themeColor="text1"/>
                <w:sz w:val="26"/>
                <w:szCs w:val="26"/>
              </w:rPr>
              <w:t>外補職缺</w:t>
            </w:r>
            <w:proofErr w:type="gramEnd"/>
            <w:r w:rsidRPr="00BB6C49">
              <w:rPr>
                <w:rFonts w:ascii="標楷體" w:eastAsia="標楷體" w:hAnsi="標楷體" w:hint="eastAsia"/>
                <w:color w:val="000000" w:themeColor="text1"/>
                <w:sz w:val="26"/>
                <w:szCs w:val="26"/>
              </w:rPr>
              <w:t>第一次辦理甄選作業</w:t>
            </w:r>
            <w:r w:rsidRPr="00BB6C49">
              <w:rPr>
                <w:rFonts w:ascii="標楷體" w:eastAsia="標楷體" w:hAnsi="標楷體"/>
                <w:color w:val="000000" w:themeColor="text1"/>
                <w:sz w:val="26"/>
                <w:szCs w:val="26"/>
              </w:rPr>
              <w:t>平均</w:t>
            </w:r>
            <w:proofErr w:type="gramStart"/>
            <w:r w:rsidRPr="00BB6C49">
              <w:rPr>
                <w:rFonts w:ascii="標楷體" w:eastAsia="標楷體" w:hAnsi="標楷體"/>
                <w:color w:val="000000" w:themeColor="text1"/>
                <w:sz w:val="26"/>
                <w:szCs w:val="26"/>
              </w:rPr>
              <w:t>補實率</w:t>
            </w:r>
            <w:proofErr w:type="gramEnd"/>
            <w:r w:rsidRPr="00BB6C49">
              <w:rPr>
                <w:rStyle w:val="a6"/>
                <w:rFonts w:ascii="標楷體" w:eastAsia="標楷體" w:hAnsi="標楷體"/>
                <w:color w:val="000000" w:themeColor="text1"/>
                <w:sz w:val="26"/>
                <w:szCs w:val="26"/>
              </w:rPr>
              <w:footnoteReference w:id="2"/>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pacing w:val="-20"/>
                <w:sz w:val="26"/>
                <w:szCs w:val="26"/>
              </w:rPr>
            </w:pPr>
            <w:r w:rsidRPr="00BB6C49">
              <w:rPr>
                <w:rFonts w:ascii="標楷體" w:eastAsia="標楷體" w:hAnsi="標楷體"/>
                <w:color w:val="000000" w:themeColor="text1"/>
                <w:spacing w:val="-20"/>
                <w:sz w:val="26"/>
                <w:szCs w:val="26"/>
              </w:rPr>
              <w:t>100-</w:t>
            </w:r>
            <w:r w:rsidRPr="00BB6C49">
              <w:rPr>
                <w:rFonts w:ascii="標楷體" w:eastAsia="標楷體" w:hAnsi="標楷體" w:hint="eastAsia"/>
                <w:color w:val="000000" w:themeColor="text1"/>
                <w:spacing w:val="-20"/>
                <w:sz w:val="26"/>
                <w:szCs w:val="26"/>
              </w:rPr>
              <w:t>(</w:t>
            </w:r>
            <w:proofErr w:type="gramStart"/>
            <w:r w:rsidRPr="00BB6C49">
              <w:rPr>
                <w:rFonts w:ascii="標楷體" w:eastAsia="標楷體" w:hAnsi="標楷體"/>
                <w:color w:val="000000" w:themeColor="text1"/>
                <w:spacing w:val="-20"/>
                <w:sz w:val="26"/>
                <w:szCs w:val="26"/>
              </w:rPr>
              <w:t>補實率</w:t>
            </w:r>
            <w:proofErr w:type="gramEnd"/>
            <w:r w:rsidRPr="00BB6C49">
              <w:rPr>
                <w:rFonts w:ascii="標楷體" w:eastAsia="標楷體" w:hAnsi="標楷體" w:hint="eastAsia"/>
                <w:color w:val="000000" w:themeColor="text1"/>
                <w:spacing w:val="-20"/>
                <w:sz w:val="26"/>
                <w:szCs w:val="26"/>
              </w:rPr>
              <w:t>*100)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pacing w:val="-12"/>
                <w:sz w:val="26"/>
                <w:szCs w:val="26"/>
              </w:rPr>
            </w:pPr>
            <w:r w:rsidRPr="00BB6C49">
              <w:rPr>
                <w:rFonts w:ascii="標楷體" w:eastAsia="標楷體" w:hAnsi="標楷體"/>
                <w:color w:val="000000" w:themeColor="text1"/>
                <w:spacing w:val="-12"/>
                <w:sz w:val="26"/>
                <w:szCs w:val="26"/>
              </w:rPr>
              <w:t>本單位</w:t>
            </w:r>
            <w:r w:rsidRPr="00BB6C49">
              <w:rPr>
                <w:rFonts w:ascii="標楷體" w:eastAsia="標楷體" w:hAnsi="標楷體" w:hint="eastAsia"/>
                <w:color w:val="000000" w:themeColor="text1"/>
                <w:spacing w:val="-12"/>
                <w:sz w:val="26"/>
                <w:szCs w:val="26"/>
              </w:rPr>
              <w:t>102年至</w:t>
            </w:r>
            <w:proofErr w:type="gramStart"/>
            <w:r w:rsidRPr="00BB6C49">
              <w:rPr>
                <w:rFonts w:ascii="標楷體" w:eastAsia="標楷體" w:hAnsi="標楷體" w:hint="eastAsia"/>
                <w:color w:val="000000" w:themeColor="text1"/>
                <w:spacing w:val="-12"/>
                <w:sz w:val="26"/>
                <w:szCs w:val="26"/>
              </w:rPr>
              <w:t>104</w:t>
            </w:r>
            <w:proofErr w:type="gramEnd"/>
            <w:r w:rsidRPr="00BB6C49">
              <w:rPr>
                <w:rFonts w:ascii="標楷體" w:eastAsia="標楷體" w:hAnsi="標楷體" w:hint="eastAsia"/>
                <w:color w:val="000000" w:themeColor="text1"/>
                <w:spacing w:val="-12"/>
                <w:sz w:val="26"/>
                <w:szCs w:val="26"/>
              </w:rPr>
              <w:t>年度甄選非現職人員為職務代理人第一次辦理甄選作業</w:t>
            </w:r>
            <w:r w:rsidRPr="00BB6C49">
              <w:rPr>
                <w:rFonts w:ascii="標楷體" w:eastAsia="標楷體" w:hAnsi="標楷體"/>
                <w:color w:val="000000" w:themeColor="text1"/>
                <w:spacing w:val="-12"/>
                <w:sz w:val="26"/>
                <w:szCs w:val="26"/>
              </w:rPr>
              <w:t>平均</w:t>
            </w:r>
            <w:proofErr w:type="gramStart"/>
            <w:r w:rsidRPr="00BB6C49">
              <w:rPr>
                <w:rFonts w:ascii="標楷體" w:eastAsia="標楷體" w:hAnsi="標楷體"/>
                <w:color w:val="000000" w:themeColor="text1"/>
                <w:spacing w:val="-12"/>
                <w:sz w:val="26"/>
                <w:szCs w:val="26"/>
              </w:rPr>
              <w:t>補實率</w:t>
            </w:r>
            <w:proofErr w:type="gramEnd"/>
            <w:r w:rsidRPr="00A03E65">
              <w:rPr>
                <w:rStyle w:val="a6"/>
                <w:rFonts w:ascii="標楷體" w:eastAsia="標楷體" w:hAnsi="標楷體"/>
                <w:color w:val="000000" w:themeColor="text1"/>
                <w:sz w:val="26"/>
                <w:szCs w:val="26"/>
              </w:rPr>
              <w:footnoteReference w:id="3"/>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pacing w:val="-20"/>
                <w:sz w:val="26"/>
                <w:szCs w:val="26"/>
              </w:rPr>
            </w:pPr>
            <w:r w:rsidRPr="00BB6C49">
              <w:rPr>
                <w:rFonts w:ascii="標楷體" w:eastAsia="標楷體" w:hAnsi="標楷體"/>
                <w:color w:val="000000" w:themeColor="text1"/>
                <w:spacing w:val="-20"/>
                <w:sz w:val="26"/>
                <w:szCs w:val="26"/>
              </w:rPr>
              <w:t>100-</w:t>
            </w:r>
            <w:r w:rsidRPr="00BB6C49">
              <w:rPr>
                <w:rFonts w:ascii="標楷體" w:eastAsia="標楷體" w:hAnsi="標楷體" w:hint="eastAsia"/>
                <w:color w:val="000000" w:themeColor="text1"/>
                <w:spacing w:val="-20"/>
                <w:sz w:val="26"/>
                <w:szCs w:val="26"/>
              </w:rPr>
              <w:t>(</w:t>
            </w:r>
            <w:proofErr w:type="gramStart"/>
            <w:r w:rsidRPr="00BB6C49">
              <w:rPr>
                <w:rFonts w:ascii="標楷體" w:eastAsia="標楷體" w:hAnsi="標楷體"/>
                <w:color w:val="000000" w:themeColor="text1"/>
                <w:spacing w:val="-20"/>
                <w:sz w:val="26"/>
                <w:szCs w:val="26"/>
              </w:rPr>
              <w:t>補實率</w:t>
            </w:r>
            <w:proofErr w:type="gramEnd"/>
            <w:r w:rsidRPr="00BB6C49">
              <w:rPr>
                <w:rFonts w:ascii="標楷體" w:eastAsia="標楷體" w:hAnsi="標楷體" w:hint="eastAsia"/>
                <w:color w:val="000000" w:themeColor="text1"/>
                <w:spacing w:val="-20"/>
                <w:sz w:val="26"/>
                <w:szCs w:val="26"/>
              </w:rPr>
              <w:t>*100)</w:t>
            </w:r>
          </w:p>
        </w:tc>
      </w:tr>
      <w:tr w:rsidR="00D2151F" w:rsidRPr="00BB6C49" w:rsidTr="00D2151F">
        <w:trPr>
          <w:trHeight w:val="340"/>
        </w:trPr>
        <w:tc>
          <w:tcPr>
            <w:tcW w:w="1418" w:type="dxa"/>
            <w:vMerge w:val="restart"/>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ind w:left="260" w:hangingChars="100" w:hanging="260"/>
              <w:jc w:val="both"/>
              <w:rPr>
                <w:rFonts w:ascii="標楷體" w:eastAsia="標楷體" w:hAnsi="標楷體"/>
                <w:color w:val="000000" w:themeColor="text1"/>
                <w:sz w:val="26"/>
                <w:szCs w:val="26"/>
              </w:rPr>
            </w:pPr>
            <w:r w:rsidRPr="00BB6C49">
              <w:rPr>
                <w:rFonts w:ascii="標楷體" w:eastAsia="標楷體" w:hAnsi="標楷體" w:hint="eastAsia"/>
                <w:color w:val="000000" w:themeColor="text1"/>
                <w:sz w:val="26"/>
                <w:szCs w:val="26"/>
              </w:rPr>
              <w:t>10.</w:t>
            </w:r>
            <w:r w:rsidRPr="00BB6C49">
              <w:rPr>
                <w:rFonts w:ascii="標楷體" w:eastAsia="標楷體" w:hAnsi="標楷體"/>
                <w:color w:val="000000" w:themeColor="text1"/>
                <w:sz w:val="26"/>
                <w:szCs w:val="26"/>
              </w:rPr>
              <w:t>現有人力流失率</w:t>
            </w: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99年至</w:t>
            </w:r>
            <w:proofErr w:type="gramStart"/>
            <w:r w:rsidRPr="00BB6C49">
              <w:rPr>
                <w:rFonts w:ascii="標楷體" w:eastAsia="標楷體" w:hAnsi="標楷體" w:hint="eastAsia"/>
                <w:color w:val="000000" w:themeColor="text1"/>
                <w:sz w:val="26"/>
                <w:szCs w:val="26"/>
              </w:rPr>
              <w:t>101</w:t>
            </w:r>
            <w:proofErr w:type="gramEnd"/>
            <w:r w:rsidRPr="00BB6C49">
              <w:rPr>
                <w:rFonts w:ascii="標楷體" w:eastAsia="標楷體" w:hAnsi="標楷體" w:hint="eastAsia"/>
                <w:color w:val="000000" w:themeColor="text1"/>
                <w:sz w:val="26"/>
                <w:szCs w:val="26"/>
              </w:rPr>
              <w:t>年度</w:t>
            </w:r>
            <w:r w:rsidRPr="00BB6C49">
              <w:rPr>
                <w:rFonts w:ascii="標楷體" w:eastAsia="標楷體" w:hAnsi="標楷體"/>
                <w:color w:val="000000" w:themeColor="text1"/>
                <w:sz w:val="26"/>
                <w:szCs w:val="26"/>
              </w:rPr>
              <w:t>國家考試</w:t>
            </w:r>
            <w:r w:rsidRPr="00BB6C49">
              <w:rPr>
                <w:rFonts w:ascii="標楷體" w:eastAsia="標楷體" w:hAnsi="標楷體" w:hint="eastAsia"/>
                <w:color w:val="000000" w:themeColor="text1"/>
                <w:sz w:val="26"/>
                <w:szCs w:val="26"/>
              </w:rPr>
              <w:t>分發</w:t>
            </w:r>
            <w:r w:rsidRPr="00BB6C49">
              <w:rPr>
                <w:rFonts w:ascii="標楷體" w:eastAsia="標楷體" w:hAnsi="標楷體"/>
                <w:color w:val="000000" w:themeColor="text1"/>
                <w:sz w:val="26"/>
                <w:szCs w:val="26"/>
              </w:rPr>
              <w:t>人員</w:t>
            </w:r>
            <w:r w:rsidRPr="00BB6C49">
              <w:rPr>
                <w:rFonts w:ascii="標楷體" w:eastAsia="標楷體" w:hAnsi="標楷體" w:hint="eastAsia"/>
                <w:color w:val="000000" w:themeColor="text1"/>
                <w:sz w:val="26"/>
                <w:szCs w:val="26"/>
              </w:rPr>
              <w:t>於</w:t>
            </w:r>
            <w:r w:rsidRPr="00682428">
              <w:rPr>
                <w:rFonts w:ascii="標楷體" w:eastAsia="標楷體" w:hAnsi="標楷體" w:hint="eastAsia"/>
                <w:strike/>
                <w:color w:val="FF0000"/>
                <w:sz w:val="26"/>
                <w:szCs w:val="26"/>
                <w:shd w:val="pct15" w:color="auto" w:fill="FFFFFF"/>
              </w:rPr>
              <w:t>滿</w:t>
            </w:r>
            <w:r w:rsidR="00302303" w:rsidRPr="00682428">
              <w:rPr>
                <w:rFonts w:ascii="標楷體" w:eastAsia="標楷體" w:hAnsi="標楷體" w:hint="eastAsia"/>
                <w:color w:val="FF0000"/>
                <w:sz w:val="26"/>
                <w:szCs w:val="26"/>
                <w:u w:val="single"/>
                <w:shd w:val="pct15" w:color="auto" w:fill="FFFFFF"/>
              </w:rPr>
              <w:t>4</w:t>
            </w:r>
            <w:r w:rsidRPr="00682428">
              <w:rPr>
                <w:rFonts w:ascii="標楷體" w:eastAsia="標楷體" w:hAnsi="標楷體" w:hint="eastAsia"/>
                <w:strike/>
                <w:color w:val="FF0000"/>
                <w:sz w:val="26"/>
                <w:szCs w:val="26"/>
                <w:shd w:val="pct15" w:color="auto" w:fill="FFFFFF"/>
              </w:rPr>
              <w:t>3</w:t>
            </w:r>
            <w:r w:rsidRPr="00682428">
              <w:rPr>
                <w:rFonts w:ascii="標楷體" w:eastAsia="標楷體" w:hAnsi="標楷體" w:hint="eastAsia"/>
                <w:sz w:val="26"/>
                <w:szCs w:val="26"/>
              </w:rPr>
              <w:t>年</w:t>
            </w:r>
            <w:r w:rsidR="00682428" w:rsidRPr="00682428">
              <w:rPr>
                <w:rFonts w:ascii="標楷體" w:eastAsia="標楷體" w:hAnsi="標楷體" w:hint="eastAsia"/>
                <w:color w:val="FF0000"/>
                <w:sz w:val="26"/>
                <w:szCs w:val="26"/>
                <w:u w:val="single"/>
                <w:shd w:val="pct15" w:color="auto" w:fill="FFFFFF"/>
              </w:rPr>
              <w:t>內</w:t>
            </w:r>
            <w:r w:rsidRPr="00BB6C49">
              <w:rPr>
                <w:rFonts w:ascii="標楷體" w:eastAsia="標楷體" w:hAnsi="標楷體" w:hint="eastAsia"/>
                <w:color w:val="000000" w:themeColor="text1"/>
                <w:sz w:val="26"/>
                <w:szCs w:val="26"/>
              </w:rPr>
              <w:t>調任他機關</w:t>
            </w:r>
            <w:r w:rsidRPr="00BB6C49">
              <w:rPr>
                <w:rFonts w:ascii="標楷體" w:eastAsia="標楷體" w:hAnsi="標楷體"/>
                <w:color w:val="000000" w:themeColor="text1"/>
                <w:sz w:val="26"/>
                <w:szCs w:val="26"/>
              </w:rPr>
              <w:t>平均比率</w:t>
            </w:r>
            <w:r w:rsidRPr="00BB6C49">
              <w:rPr>
                <w:rStyle w:val="a6"/>
                <w:rFonts w:ascii="標楷體" w:eastAsia="標楷體" w:hAnsi="標楷體"/>
                <w:color w:val="000000" w:themeColor="text1"/>
                <w:sz w:val="26"/>
                <w:szCs w:val="26"/>
              </w:rPr>
              <w:footnoteReference w:id="4"/>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調</w:t>
            </w:r>
            <w:r w:rsidRPr="00BB6C49">
              <w:rPr>
                <w:rFonts w:ascii="標楷體" w:eastAsia="標楷體" w:hAnsi="標楷體" w:hint="eastAsia"/>
                <w:color w:val="000000" w:themeColor="text1"/>
                <w:sz w:val="26"/>
                <w:szCs w:val="26"/>
              </w:rPr>
              <w:t>任</w:t>
            </w:r>
            <w:r w:rsidRPr="00BB6C49">
              <w:rPr>
                <w:rFonts w:ascii="標楷體" w:eastAsia="標楷體" w:hAnsi="標楷體"/>
                <w:color w:val="000000" w:themeColor="text1"/>
                <w:sz w:val="26"/>
                <w:szCs w:val="26"/>
              </w:rPr>
              <w:t>比率</w:t>
            </w:r>
            <w:r w:rsidRPr="00BB6C49">
              <w:rPr>
                <w:rFonts w:ascii="標楷體" w:eastAsia="標楷體" w:hAnsi="標楷體" w:hint="eastAsia"/>
                <w:color w:val="000000" w:themeColor="text1"/>
                <w:sz w:val="26"/>
                <w:szCs w:val="26"/>
              </w:rPr>
              <w:t>*100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99年至</w:t>
            </w:r>
            <w:proofErr w:type="gramStart"/>
            <w:r w:rsidRPr="00BB6C49">
              <w:rPr>
                <w:rFonts w:ascii="標楷體" w:eastAsia="標楷體" w:hAnsi="標楷體" w:hint="eastAsia"/>
                <w:color w:val="000000" w:themeColor="text1"/>
                <w:sz w:val="26"/>
                <w:szCs w:val="26"/>
              </w:rPr>
              <w:t>101</w:t>
            </w:r>
            <w:proofErr w:type="gramEnd"/>
            <w:r w:rsidRPr="00BB6C49">
              <w:rPr>
                <w:rFonts w:ascii="標楷體" w:eastAsia="標楷體" w:hAnsi="標楷體" w:hint="eastAsia"/>
                <w:color w:val="000000" w:themeColor="text1"/>
                <w:sz w:val="26"/>
                <w:szCs w:val="26"/>
              </w:rPr>
              <w:t>年度</w:t>
            </w:r>
            <w:r w:rsidRPr="00BB6C49">
              <w:rPr>
                <w:rFonts w:ascii="標楷體" w:eastAsia="標楷體" w:hAnsi="標楷體"/>
                <w:color w:val="000000" w:themeColor="text1"/>
                <w:sz w:val="26"/>
                <w:szCs w:val="26"/>
              </w:rPr>
              <w:t>國家考試</w:t>
            </w:r>
            <w:r w:rsidRPr="00BB6C49">
              <w:rPr>
                <w:rFonts w:ascii="標楷體" w:eastAsia="標楷體" w:hAnsi="標楷體" w:hint="eastAsia"/>
                <w:color w:val="000000" w:themeColor="text1"/>
                <w:sz w:val="26"/>
                <w:szCs w:val="26"/>
              </w:rPr>
              <w:t>分發</w:t>
            </w:r>
            <w:r w:rsidRPr="00BB6C49">
              <w:rPr>
                <w:rFonts w:ascii="標楷體" w:eastAsia="標楷體" w:hAnsi="標楷體"/>
                <w:color w:val="000000" w:themeColor="text1"/>
                <w:sz w:val="26"/>
                <w:szCs w:val="26"/>
              </w:rPr>
              <w:t>人員</w:t>
            </w:r>
            <w:r w:rsidRPr="00BB6C49">
              <w:rPr>
                <w:rFonts w:ascii="標楷體" w:eastAsia="標楷體" w:hAnsi="標楷體" w:hint="eastAsia"/>
                <w:color w:val="000000" w:themeColor="text1"/>
                <w:sz w:val="26"/>
                <w:szCs w:val="26"/>
              </w:rPr>
              <w:t>未滿3年內</w:t>
            </w:r>
            <w:r w:rsidRPr="00BB6C49">
              <w:rPr>
                <w:rFonts w:ascii="標楷體" w:eastAsia="標楷體" w:hAnsi="標楷體"/>
                <w:color w:val="000000" w:themeColor="text1"/>
                <w:sz w:val="26"/>
                <w:szCs w:val="26"/>
              </w:rPr>
              <w:t>平均辭職率</w:t>
            </w:r>
            <w:r w:rsidRPr="00BB6C49">
              <w:rPr>
                <w:rStyle w:val="a6"/>
                <w:rFonts w:ascii="標楷體" w:eastAsia="標楷體" w:hAnsi="標楷體"/>
                <w:color w:val="000000" w:themeColor="text1"/>
                <w:sz w:val="26"/>
                <w:szCs w:val="26"/>
              </w:rPr>
              <w:footnoteReference w:id="5"/>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辭職率</w:t>
            </w:r>
            <w:r w:rsidRPr="00BB6C49">
              <w:rPr>
                <w:rFonts w:ascii="標楷體" w:eastAsia="標楷體" w:hAnsi="標楷體" w:hint="eastAsia"/>
                <w:color w:val="000000" w:themeColor="text1"/>
                <w:sz w:val="26"/>
                <w:szCs w:val="26"/>
              </w:rPr>
              <w:t>*100</w:t>
            </w:r>
          </w:p>
        </w:tc>
      </w:tr>
      <w:tr w:rsidR="00D2151F" w:rsidRPr="00BB6C49" w:rsidTr="00D2151F">
        <w:trPr>
          <w:trHeight w:val="340"/>
        </w:trPr>
        <w:tc>
          <w:tcPr>
            <w:tcW w:w="1418" w:type="dxa"/>
            <w:vMerge/>
            <w:tcBorders>
              <w:top w:val="single" w:sz="2" w:space="0" w:color="auto"/>
              <w:left w:val="double" w:sz="4" w:space="0" w:color="auto"/>
              <w:bottom w:val="single" w:sz="2" w:space="0" w:color="auto"/>
              <w:right w:val="single" w:sz="2" w:space="0" w:color="auto"/>
            </w:tcBorders>
            <w:shd w:val="clear" w:color="auto" w:fill="auto"/>
            <w:vAlign w:val="center"/>
          </w:tcPr>
          <w:p w:rsidR="00D2151F" w:rsidRPr="00BB6C49" w:rsidRDefault="00D2151F" w:rsidP="00BA3656">
            <w:pPr>
              <w:spacing w:line="360" w:lineRule="exact"/>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single" w:sz="2"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本單位</w:t>
            </w:r>
            <w:r w:rsidRPr="00BB6C49">
              <w:rPr>
                <w:rFonts w:ascii="標楷體" w:eastAsia="標楷體" w:hAnsi="標楷體" w:hint="eastAsia"/>
                <w:color w:val="000000" w:themeColor="text1"/>
                <w:sz w:val="26"/>
                <w:szCs w:val="26"/>
              </w:rPr>
              <w:t>102年至</w:t>
            </w:r>
            <w:proofErr w:type="gramStart"/>
            <w:r w:rsidRPr="00BB6C49">
              <w:rPr>
                <w:rFonts w:ascii="標楷體" w:eastAsia="標楷體" w:hAnsi="標楷體" w:hint="eastAsia"/>
                <w:color w:val="000000" w:themeColor="text1"/>
                <w:sz w:val="26"/>
                <w:szCs w:val="26"/>
              </w:rPr>
              <w:t>104</w:t>
            </w:r>
            <w:proofErr w:type="gramEnd"/>
            <w:r w:rsidRPr="00BB6C49">
              <w:rPr>
                <w:rFonts w:ascii="標楷體" w:eastAsia="標楷體" w:hAnsi="標楷體" w:hint="eastAsia"/>
                <w:color w:val="000000" w:themeColor="text1"/>
                <w:sz w:val="26"/>
                <w:szCs w:val="26"/>
              </w:rPr>
              <w:t>年度現職人員（不含考試分發人員）</w:t>
            </w:r>
            <w:r w:rsidRPr="00BB6C49">
              <w:rPr>
                <w:rFonts w:ascii="標楷體" w:eastAsia="標楷體" w:hAnsi="標楷體"/>
                <w:color w:val="000000" w:themeColor="text1"/>
                <w:sz w:val="26"/>
                <w:szCs w:val="26"/>
              </w:rPr>
              <w:t>平均辭職率</w:t>
            </w:r>
            <w:r w:rsidRPr="00BB6C49">
              <w:rPr>
                <w:rStyle w:val="a6"/>
                <w:rFonts w:ascii="標楷體" w:eastAsia="標楷體" w:hAnsi="標楷體"/>
                <w:color w:val="000000" w:themeColor="text1"/>
                <w:sz w:val="26"/>
                <w:szCs w:val="26"/>
              </w:rPr>
              <w:footnoteReference w:id="6"/>
            </w:r>
          </w:p>
        </w:tc>
        <w:tc>
          <w:tcPr>
            <w:tcW w:w="1560" w:type="dxa"/>
            <w:tcBorders>
              <w:top w:val="single" w:sz="2" w:space="0" w:color="auto"/>
              <w:left w:val="single" w:sz="2" w:space="0" w:color="auto"/>
              <w:bottom w:val="single" w:sz="2" w:space="0" w:color="auto"/>
              <w:right w:val="double" w:sz="4" w:space="0" w:color="auto"/>
            </w:tcBorders>
            <w:vAlign w:val="center"/>
          </w:tcPr>
          <w:p w:rsidR="00D2151F" w:rsidRPr="00BB6C49" w:rsidRDefault="00D2151F" w:rsidP="00BA3656">
            <w:pPr>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辭職率</w:t>
            </w:r>
            <w:r w:rsidRPr="00BB6C49">
              <w:rPr>
                <w:rFonts w:ascii="標楷體" w:eastAsia="標楷體" w:hAnsi="標楷體" w:hint="eastAsia"/>
                <w:color w:val="000000" w:themeColor="text1"/>
                <w:sz w:val="26"/>
                <w:szCs w:val="26"/>
              </w:rPr>
              <w:t>*100</w:t>
            </w:r>
          </w:p>
        </w:tc>
      </w:tr>
      <w:tr w:rsidR="00D2151F" w:rsidRPr="00BB6C49" w:rsidTr="00D2151F">
        <w:trPr>
          <w:trHeight w:val="340"/>
        </w:trPr>
        <w:tc>
          <w:tcPr>
            <w:tcW w:w="1418" w:type="dxa"/>
            <w:vMerge/>
            <w:tcBorders>
              <w:top w:val="single" w:sz="2" w:space="0" w:color="auto"/>
              <w:left w:val="double" w:sz="4" w:space="0" w:color="auto"/>
              <w:bottom w:val="double" w:sz="4" w:space="0" w:color="auto"/>
              <w:right w:val="single" w:sz="2" w:space="0" w:color="auto"/>
            </w:tcBorders>
            <w:shd w:val="clear" w:color="auto" w:fill="auto"/>
            <w:vAlign w:val="center"/>
          </w:tcPr>
          <w:p w:rsidR="00D2151F" w:rsidRPr="00BB6C49" w:rsidRDefault="00D2151F" w:rsidP="00BA3656">
            <w:pPr>
              <w:spacing w:line="360" w:lineRule="exact"/>
              <w:jc w:val="both"/>
              <w:rPr>
                <w:rFonts w:ascii="標楷體" w:eastAsia="標楷體" w:hAnsi="標楷體"/>
                <w:color w:val="000000" w:themeColor="text1"/>
                <w:sz w:val="26"/>
                <w:szCs w:val="26"/>
              </w:rPr>
            </w:pPr>
          </w:p>
        </w:tc>
        <w:tc>
          <w:tcPr>
            <w:tcW w:w="4819" w:type="dxa"/>
            <w:tcBorders>
              <w:top w:val="single" w:sz="2" w:space="0" w:color="auto"/>
              <w:left w:val="single" w:sz="2" w:space="0" w:color="auto"/>
              <w:bottom w:val="double" w:sz="4" w:space="0" w:color="auto"/>
              <w:right w:val="single" w:sz="2" w:space="0" w:color="auto"/>
            </w:tcBorders>
            <w:vAlign w:val="center"/>
          </w:tcPr>
          <w:p w:rsidR="00D2151F" w:rsidRPr="00BB6C49" w:rsidRDefault="00D2151F" w:rsidP="005A7313">
            <w:pPr>
              <w:spacing w:line="360" w:lineRule="exact"/>
              <w:jc w:val="both"/>
              <w:rPr>
                <w:rFonts w:ascii="標楷體" w:eastAsia="標楷體" w:hAnsi="標楷體"/>
                <w:color w:val="000000" w:themeColor="text1"/>
                <w:spacing w:val="-10"/>
                <w:sz w:val="26"/>
                <w:szCs w:val="26"/>
              </w:rPr>
            </w:pPr>
            <w:r w:rsidRPr="00BB6C49">
              <w:rPr>
                <w:rFonts w:ascii="標楷體" w:eastAsia="標楷體" w:hAnsi="標楷體"/>
                <w:color w:val="000000" w:themeColor="text1"/>
                <w:spacing w:val="-10"/>
                <w:sz w:val="26"/>
                <w:szCs w:val="26"/>
              </w:rPr>
              <w:t>本單位</w:t>
            </w:r>
            <w:r w:rsidRPr="00BB6C49">
              <w:rPr>
                <w:rFonts w:ascii="標楷體" w:eastAsia="標楷體" w:hAnsi="標楷體" w:hint="eastAsia"/>
                <w:color w:val="000000" w:themeColor="text1"/>
                <w:spacing w:val="-10"/>
                <w:sz w:val="26"/>
                <w:szCs w:val="26"/>
              </w:rPr>
              <w:t>102年至</w:t>
            </w:r>
            <w:proofErr w:type="gramStart"/>
            <w:r w:rsidRPr="00BB6C49">
              <w:rPr>
                <w:rFonts w:ascii="標楷體" w:eastAsia="標楷體" w:hAnsi="標楷體" w:hint="eastAsia"/>
                <w:color w:val="000000" w:themeColor="text1"/>
                <w:spacing w:val="-10"/>
                <w:sz w:val="26"/>
                <w:szCs w:val="26"/>
              </w:rPr>
              <w:t>104</w:t>
            </w:r>
            <w:proofErr w:type="gramEnd"/>
            <w:r w:rsidRPr="00BB6C49">
              <w:rPr>
                <w:rFonts w:ascii="標楷體" w:eastAsia="標楷體" w:hAnsi="標楷體" w:hint="eastAsia"/>
                <w:color w:val="000000" w:themeColor="text1"/>
                <w:spacing w:val="-10"/>
                <w:sz w:val="26"/>
                <w:szCs w:val="26"/>
              </w:rPr>
              <w:t>年度現職人員（不含考試分發人員）</w:t>
            </w:r>
            <w:r w:rsidRPr="00BB6C49">
              <w:rPr>
                <w:rFonts w:ascii="標楷體" w:eastAsia="標楷體" w:hAnsi="標楷體"/>
                <w:color w:val="000000" w:themeColor="text1"/>
                <w:spacing w:val="-10"/>
                <w:sz w:val="26"/>
                <w:szCs w:val="26"/>
              </w:rPr>
              <w:t>平均調</w:t>
            </w:r>
            <w:r w:rsidRPr="00BB6C49">
              <w:rPr>
                <w:rFonts w:ascii="標楷體" w:eastAsia="標楷體" w:hAnsi="標楷體" w:hint="eastAsia"/>
                <w:color w:val="000000" w:themeColor="text1"/>
                <w:spacing w:val="-10"/>
                <w:sz w:val="26"/>
                <w:szCs w:val="26"/>
              </w:rPr>
              <w:t>任</w:t>
            </w:r>
            <w:r w:rsidRPr="00BB6C49">
              <w:rPr>
                <w:rFonts w:ascii="標楷體" w:eastAsia="標楷體" w:hAnsi="標楷體"/>
                <w:color w:val="000000" w:themeColor="text1"/>
                <w:spacing w:val="-10"/>
                <w:sz w:val="26"/>
                <w:szCs w:val="26"/>
              </w:rPr>
              <w:t>其他</w:t>
            </w:r>
            <w:r w:rsidRPr="00BB6C49">
              <w:rPr>
                <w:rFonts w:ascii="標楷體" w:eastAsia="標楷體" w:hAnsi="標楷體" w:hint="eastAsia"/>
                <w:color w:val="000000" w:themeColor="text1"/>
                <w:spacing w:val="-10"/>
                <w:sz w:val="26"/>
                <w:szCs w:val="26"/>
              </w:rPr>
              <w:t>機關之</w:t>
            </w:r>
            <w:r w:rsidRPr="00BB6C49">
              <w:rPr>
                <w:rFonts w:ascii="標楷體" w:eastAsia="標楷體" w:hAnsi="標楷體"/>
                <w:color w:val="000000" w:themeColor="text1"/>
                <w:spacing w:val="-10"/>
                <w:sz w:val="26"/>
                <w:szCs w:val="26"/>
              </w:rPr>
              <w:t>比率</w:t>
            </w:r>
            <w:r w:rsidRPr="00BB6C49">
              <w:rPr>
                <w:rStyle w:val="a6"/>
                <w:rFonts w:ascii="標楷體" w:eastAsia="標楷體" w:hAnsi="標楷體"/>
                <w:color w:val="000000" w:themeColor="text1"/>
                <w:spacing w:val="-10"/>
                <w:sz w:val="26"/>
                <w:szCs w:val="26"/>
              </w:rPr>
              <w:footnoteReference w:id="7"/>
            </w:r>
          </w:p>
        </w:tc>
        <w:tc>
          <w:tcPr>
            <w:tcW w:w="1560" w:type="dxa"/>
            <w:tcBorders>
              <w:top w:val="single" w:sz="2" w:space="0" w:color="auto"/>
              <w:left w:val="single" w:sz="2" w:space="0" w:color="auto"/>
              <w:bottom w:val="double" w:sz="4" w:space="0" w:color="auto"/>
              <w:right w:val="double" w:sz="4" w:space="0" w:color="auto"/>
            </w:tcBorders>
            <w:vAlign w:val="center"/>
          </w:tcPr>
          <w:p w:rsidR="00D2151F" w:rsidRPr="00BB6C49" w:rsidRDefault="00D2151F" w:rsidP="00BA3656">
            <w:pPr>
              <w:widowControl/>
              <w:spacing w:line="360" w:lineRule="exact"/>
              <w:jc w:val="right"/>
              <w:rPr>
                <w:rFonts w:ascii="標楷體" w:eastAsia="標楷體" w:hAnsi="標楷體"/>
                <w:color w:val="000000" w:themeColor="text1"/>
                <w:sz w:val="26"/>
                <w:szCs w:val="26"/>
              </w:rPr>
            </w:pPr>
            <w:r w:rsidRPr="00BB6C49">
              <w:rPr>
                <w:rFonts w:ascii="標楷體" w:eastAsia="標楷體" w:hAnsi="標楷體"/>
                <w:color w:val="000000" w:themeColor="text1"/>
                <w:sz w:val="26"/>
                <w:szCs w:val="26"/>
              </w:rPr>
              <w:t>調</w:t>
            </w:r>
            <w:r w:rsidRPr="00BB6C49">
              <w:rPr>
                <w:rFonts w:ascii="標楷體" w:eastAsia="標楷體" w:hAnsi="標楷體" w:hint="eastAsia"/>
                <w:color w:val="000000" w:themeColor="text1"/>
                <w:sz w:val="26"/>
                <w:szCs w:val="26"/>
              </w:rPr>
              <w:t>任</w:t>
            </w:r>
            <w:r w:rsidRPr="00BB6C49">
              <w:rPr>
                <w:rFonts w:ascii="標楷體" w:eastAsia="標楷體" w:hAnsi="標楷體"/>
                <w:color w:val="000000" w:themeColor="text1"/>
                <w:sz w:val="26"/>
                <w:szCs w:val="26"/>
              </w:rPr>
              <w:t>比率</w:t>
            </w:r>
            <w:r w:rsidRPr="00BB6C49">
              <w:rPr>
                <w:rFonts w:ascii="標楷體" w:eastAsia="標楷體" w:hAnsi="標楷體" w:hint="eastAsia"/>
                <w:color w:val="000000" w:themeColor="text1"/>
                <w:sz w:val="26"/>
                <w:szCs w:val="26"/>
              </w:rPr>
              <w:t>*100</w:t>
            </w:r>
          </w:p>
        </w:tc>
      </w:tr>
    </w:tbl>
    <w:p w:rsidR="005A7313" w:rsidRPr="00BB6C49" w:rsidRDefault="005A7313" w:rsidP="00D2151F">
      <w:pPr>
        <w:spacing w:line="360" w:lineRule="exact"/>
        <w:jc w:val="both"/>
        <w:rPr>
          <w:rFonts w:eastAsia="標楷體"/>
          <w:color w:val="000000" w:themeColor="text1"/>
          <w:sz w:val="26"/>
          <w:szCs w:val="26"/>
        </w:rPr>
      </w:pPr>
    </w:p>
    <w:p w:rsidR="008B678B" w:rsidRPr="00BB6C49" w:rsidRDefault="00BA3656" w:rsidP="00D2151F">
      <w:pPr>
        <w:spacing w:line="360" w:lineRule="exact"/>
        <w:jc w:val="both"/>
        <w:rPr>
          <w:rFonts w:eastAsia="標楷體"/>
          <w:color w:val="000000" w:themeColor="text1"/>
          <w:sz w:val="26"/>
          <w:szCs w:val="26"/>
        </w:rPr>
      </w:pPr>
      <w:r w:rsidRPr="00BB6C49">
        <w:rPr>
          <w:rFonts w:eastAsia="標楷體" w:hint="eastAsia"/>
          <w:color w:val="000000" w:themeColor="text1"/>
          <w:sz w:val="26"/>
          <w:szCs w:val="26"/>
        </w:rPr>
        <w:t>三、</w:t>
      </w:r>
      <w:r w:rsidR="008B678B" w:rsidRPr="00BB6C49">
        <w:rPr>
          <w:rFonts w:eastAsia="標楷體" w:hint="eastAsia"/>
          <w:color w:val="000000" w:themeColor="text1"/>
          <w:sz w:val="26"/>
          <w:szCs w:val="26"/>
        </w:rPr>
        <w:t>本</w:t>
      </w:r>
      <w:proofErr w:type="gramStart"/>
      <w:r w:rsidR="008B678B" w:rsidRPr="00BB6C49">
        <w:rPr>
          <w:rFonts w:eastAsia="標楷體" w:hint="eastAsia"/>
          <w:color w:val="000000" w:themeColor="text1"/>
          <w:sz w:val="26"/>
          <w:szCs w:val="26"/>
        </w:rPr>
        <w:t>自評表以</w:t>
      </w:r>
      <w:proofErr w:type="gramEnd"/>
      <w:r w:rsidR="008B678B" w:rsidRPr="00BB6C49">
        <w:rPr>
          <w:rFonts w:eastAsia="標楷體" w:hint="eastAsia"/>
          <w:color w:val="000000" w:themeColor="text1"/>
          <w:sz w:val="26"/>
          <w:szCs w:val="26"/>
        </w:rPr>
        <w:t>1,000</w:t>
      </w:r>
      <w:r w:rsidR="008B678B" w:rsidRPr="00BB6C49">
        <w:rPr>
          <w:rFonts w:eastAsia="標楷體" w:hint="eastAsia"/>
          <w:color w:val="000000" w:themeColor="text1"/>
          <w:sz w:val="26"/>
          <w:szCs w:val="26"/>
        </w:rPr>
        <w:t>分為滿分，各評價指標計分方式如下：</w:t>
      </w:r>
    </w:p>
    <w:p w:rsidR="008B678B" w:rsidRPr="00BB6C49" w:rsidRDefault="008B678B" w:rsidP="00D2151F">
      <w:pPr>
        <w:spacing w:line="360" w:lineRule="exact"/>
        <w:ind w:leftChars="200" w:left="1000" w:hangingChars="200" w:hanging="520"/>
        <w:jc w:val="both"/>
        <w:rPr>
          <w:rFonts w:eastAsia="標楷體"/>
          <w:color w:val="000000" w:themeColor="text1"/>
          <w:sz w:val="26"/>
          <w:szCs w:val="26"/>
        </w:rPr>
      </w:pPr>
      <w:r w:rsidRPr="00BB6C49">
        <w:rPr>
          <w:rFonts w:eastAsia="標楷體" w:hint="eastAsia"/>
          <w:color w:val="000000" w:themeColor="text1"/>
          <w:sz w:val="26"/>
          <w:szCs w:val="26"/>
        </w:rPr>
        <w:t>(</w:t>
      </w:r>
      <w:proofErr w:type="gramStart"/>
      <w:r w:rsidR="00BA3656" w:rsidRPr="00BB6C49">
        <w:rPr>
          <w:rFonts w:eastAsia="標楷體" w:hint="eastAsia"/>
          <w:color w:val="000000" w:themeColor="text1"/>
          <w:sz w:val="26"/>
          <w:szCs w:val="26"/>
        </w:rPr>
        <w:t>一</w:t>
      </w:r>
      <w:proofErr w:type="gramEnd"/>
      <w:r w:rsidRPr="00BB6C49">
        <w:rPr>
          <w:rFonts w:eastAsia="標楷體" w:hint="eastAsia"/>
          <w:color w:val="000000" w:themeColor="text1"/>
          <w:sz w:val="26"/>
          <w:szCs w:val="26"/>
        </w:rPr>
        <w:t>)</w:t>
      </w:r>
      <w:r w:rsidRPr="00BB6C49">
        <w:rPr>
          <w:rFonts w:eastAsia="標楷體" w:hint="eastAsia"/>
          <w:color w:val="000000" w:themeColor="text1"/>
          <w:sz w:val="26"/>
          <w:szCs w:val="26"/>
        </w:rPr>
        <w:t>第</w:t>
      </w:r>
      <w:r w:rsidRPr="00BB6C49">
        <w:rPr>
          <w:rFonts w:eastAsia="標楷體" w:hint="eastAsia"/>
          <w:color w:val="000000" w:themeColor="text1"/>
          <w:sz w:val="26"/>
          <w:szCs w:val="26"/>
        </w:rPr>
        <w:t>1</w:t>
      </w:r>
      <w:r w:rsidRPr="00BB6C49">
        <w:rPr>
          <w:rFonts w:eastAsia="標楷體" w:hint="eastAsia"/>
          <w:color w:val="000000" w:themeColor="text1"/>
          <w:sz w:val="26"/>
          <w:szCs w:val="26"/>
        </w:rPr>
        <w:t>項至第</w:t>
      </w:r>
      <w:r w:rsidRPr="00BB6C49">
        <w:rPr>
          <w:rFonts w:eastAsia="標楷體" w:hint="eastAsia"/>
          <w:color w:val="000000" w:themeColor="text1"/>
          <w:sz w:val="26"/>
          <w:szCs w:val="26"/>
        </w:rPr>
        <w:t>8</w:t>
      </w:r>
      <w:r w:rsidRPr="00BB6C49">
        <w:rPr>
          <w:rFonts w:eastAsia="標楷體" w:hint="eastAsia"/>
          <w:color w:val="000000" w:themeColor="text1"/>
          <w:sz w:val="26"/>
          <w:szCs w:val="26"/>
        </w:rPr>
        <w:t>項指標由評價人員</w:t>
      </w:r>
      <w:r w:rsidRPr="00BB6C49">
        <w:rPr>
          <w:rFonts w:eastAsia="標楷體"/>
          <w:color w:val="000000" w:themeColor="text1"/>
          <w:sz w:val="26"/>
          <w:szCs w:val="26"/>
        </w:rPr>
        <w:t>就</w:t>
      </w:r>
      <w:r w:rsidRPr="00BB6C49">
        <w:rPr>
          <w:rFonts w:eastAsia="標楷體" w:hint="eastAsia"/>
          <w:color w:val="000000" w:themeColor="text1"/>
          <w:sz w:val="26"/>
          <w:szCs w:val="26"/>
        </w:rPr>
        <w:t>「衡量基準」</w:t>
      </w:r>
      <w:r w:rsidRPr="00BB6C49">
        <w:rPr>
          <w:rFonts w:eastAsia="標楷體"/>
          <w:color w:val="000000" w:themeColor="text1"/>
          <w:sz w:val="26"/>
          <w:szCs w:val="26"/>
        </w:rPr>
        <w:t>中</w:t>
      </w:r>
      <w:proofErr w:type="gramStart"/>
      <w:r w:rsidRPr="00BB6C49">
        <w:rPr>
          <w:rFonts w:eastAsia="標楷體" w:hint="eastAsia"/>
          <w:color w:val="000000" w:themeColor="text1"/>
          <w:sz w:val="26"/>
          <w:szCs w:val="26"/>
        </w:rPr>
        <w:t>最</w:t>
      </w:r>
      <w:proofErr w:type="gramEnd"/>
      <w:r w:rsidRPr="00BB6C49">
        <w:rPr>
          <w:rFonts w:eastAsia="標楷體" w:hint="eastAsia"/>
          <w:color w:val="000000" w:themeColor="text1"/>
          <w:sz w:val="26"/>
          <w:szCs w:val="26"/>
        </w:rPr>
        <w:t>適切之描述所訂分數區間</w:t>
      </w:r>
      <w:r w:rsidR="00D345F0" w:rsidRPr="00BB6C49">
        <w:rPr>
          <w:rFonts w:eastAsia="標楷體" w:hint="eastAsia"/>
          <w:color w:val="000000" w:themeColor="text1"/>
          <w:sz w:val="26"/>
          <w:szCs w:val="26"/>
        </w:rPr>
        <w:t>填具</w:t>
      </w:r>
      <w:r w:rsidR="00CB3CAB" w:rsidRPr="00BB6C49">
        <w:rPr>
          <w:rFonts w:eastAsia="標楷體" w:hint="eastAsia"/>
          <w:color w:val="000000" w:themeColor="text1"/>
          <w:sz w:val="26"/>
          <w:szCs w:val="26"/>
        </w:rPr>
        <w:t>一個</w:t>
      </w:r>
      <w:proofErr w:type="gramStart"/>
      <w:r w:rsidR="00CB3CAB" w:rsidRPr="00BB6C49">
        <w:rPr>
          <w:rFonts w:eastAsia="標楷體" w:hint="eastAsia"/>
          <w:color w:val="000000" w:themeColor="text1"/>
          <w:sz w:val="26"/>
          <w:szCs w:val="26"/>
        </w:rPr>
        <w:t>最</w:t>
      </w:r>
      <w:proofErr w:type="gramEnd"/>
      <w:r w:rsidR="00CB3CAB" w:rsidRPr="00BB6C49">
        <w:rPr>
          <w:rFonts w:eastAsia="標楷體" w:hint="eastAsia"/>
          <w:color w:val="000000" w:themeColor="text1"/>
          <w:sz w:val="26"/>
          <w:szCs w:val="26"/>
        </w:rPr>
        <w:t>妥適之</w:t>
      </w:r>
      <w:r w:rsidRPr="00BB6C49">
        <w:rPr>
          <w:rFonts w:eastAsia="標楷體"/>
          <w:color w:val="000000" w:themeColor="text1"/>
          <w:sz w:val="26"/>
          <w:szCs w:val="26"/>
        </w:rPr>
        <w:t>分數</w:t>
      </w:r>
      <w:r w:rsidR="00D2151F" w:rsidRPr="00BB6C49">
        <w:rPr>
          <w:rFonts w:eastAsia="標楷體" w:hint="eastAsia"/>
          <w:color w:val="000000" w:themeColor="text1"/>
          <w:sz w:val="26"/>
          <w:szCs w:val="26"/>
        </w:rPr>
        <w:t>及相關說明</w:t>
      </w:r>
      <w:r w:rsidRPr="00BB6C49">
        <w:rPr>
          <w:rFonts w:eastAsia="標楷體" w:hint="eastAsia"/>
          <w:color w:val="000000" w:themeColor="text1"/>
          <w:sz w:val="26"/>
          <w:szCs w:val="26"/>
        </w:rPr>
        <w:t>。</w:t>
      </w:r>
      <w:proofErr w:type="gramStart"/>
      <w:r w:rsidR="00787198" w:rsidRPr="00BB6C49">
        <w:rPr>
          <w:rFonts w:eastAsia="標楷體" w:hint="eastAsia"/>
          <w:color w:val="000000" w:themeColor="text1"/>
          <w:sz w:val="26"/>
          <w:szCs w:val="26"/>
        </w:rPr>
        <w:t>（</w:t>
      </w:r>
      <w:proofErr w:type="gramEnd"/>
      <w:r w:rsidR="00787198" w:rsidRPr="00BB6C49">
        <w:rPr>
          <w:rFonts w:eastAsia="標楷體" w:hint="eastAsia"/>
          <w:color w:val="000000" w:themeColor="text1"/>
          <w:sz w:val="26"/>
          <w:szCs w:val="26"/>
        </w:rPr>
        <w:t>如人事總處給與福利處</w:t>
      </w:r>
      <w:r w:rsidR="00CB3CAB" w:rsidRPr="00BB6C49">
        <w:rPr>
          <w:rFonts w:eastAsia="標楷體" w:hint="eastAsia"/>
          <w:color w:val="000000" w:themeColor="text1"/>
          <w:sz w:val="26"/>
          <w:szCs w:val="26"/>
        </w:rPr>
        <w:t>評價指標</w:t>
      </w:r>
      <w:r w:rsidR="00CB3CAB" w:rsidRPr="00BB6C49">
        <w:rPr>
          <w:rFonts w:eastAsia="標楷體" w:hint="eastAsia"/>
          <w:color w:val="000000" w:themeColor="text1"/>
          <w:sz w:val="26"/>
          <w:szCs w:val="26"/>
        </w:rPr>
        <w:t>1.</w:t>
      </w:r>
      <w:r w:rsidR="00CB3CAB" w:rsidRPr="00BB6C49">
        <w:rPr>
          <w:rFonts w:ascii="標楷體" w:eastAsia="標楷體" w:hAnsi="標楷體"/>
          <w:color w:val="000000" w:themeColor="text1"/>
          <w:sz w:val="26"/>
          <w:szCs w:val="26"/>
        </w:rPr>
        <w:t>專業教育與證照</w:t>
      </w:r>
      <w:proofErr w:type="gramStart"/>
      <w:r w:rsidR="00CB3CAB" w:rsidRPr="00BB6C49">
        <w:rPr>
          <w:rFonts w:ascii="標楷體" w:eastAsia="標楷體" w:hAnsi="標楷體"/>
          <w:color w:val="000000" w:themeColor="text1"/>
          <w:sz w:val="26"/>
          <w:szCs w:val="26"/>
        </w:rPr>
        <w:t>必要性</w:t>
      </w:r>
      <w:r w:rsidR="00787198" w:rsidRPr="00BB6C49">
        <w:rPr>
          <w:rFonts w:eastAsia="標楷體" w:hint="eastAsia"/>
          <w:color w:val="000000" w:themeColor="text1"/>
          <w:sz w:val="26"/>
          <w:szCs w:val="26"/>
        </w:rPr>
        <w:t>初評</w:t>
      </w:r>
      <w:proofErr w:type="gramEnd"/>
      <w:r w:rsidR="00787198" w:rsidRPr="00BB6C49">
        <w:rPr>
          <w:rFonts w:eastAsia="標楷體" w:hint="eastAsia"/>
          <w:color w:val="000000" w:themeColor="text1"/>
          <w:sz w:val="26"/>
          <w:szCs w:val="26"/>
        </w:rPr>
        <w:t>「</w:t>
      </w:r>
      <w:r w:rsidR="00CB3CAB" w:rsidRPr="00BB6C49">
        <w:rPr>
          <w:rFonts w:eastAsia="標楷體" w:hint="eastAsia"/>
          <w:color w:val="000000" w:themeColor="text1"/>
          <w:sz w:val="26"/>
          <w:szCs w:val="26"/>
        </w:rPr>
        <w:t>79</w:t>
      </w:r>
      <w:r w:rsidR="00787198" w:rsidRPr="00BB6C49">
        <w:rPr>
          <w:rFonts w:eastAsia="標楷體" w:hint="eastAsia"/>
          <w:color w:val="000000" w:themeColor="text1"/>
          <w:sz w:val="26"/>
          <w:szCs w:val="26"/>
        </w:rPr>
        <w:t>分」，說明「</w:t>
      </w:r>
      <w:r w:rsidR="00787198" w:rsidRPr="00BB6C49">
        <w:rPr>
          <w:rFonts w:ascii="標楷體" w:eastAsia="標楷體" w:hAnsi="標楷體"/>
          <w:color w:val="000000" w:themeColor="text1"/>
          <w:sz w:val="26"/>
          <w:szCs w:val="26"/>
        </w:rPr>
        <w:t>本單位工作須具</w:t>
      </w:r>
      <w:r w:rsidR="00787198" w:rsidRPr="00BB6C49">
        <w:rPr>
          <w:rFonts w:ascii="標楷體" w:eastAsia="標楷體" w:hAnsi="標楷體" w:hint="eastAsia"/>
          <w:color w:val="000000" w:themeColor="text1"/>
          <w:sz w:val="26"/>
          <w:szCs w:val="26"/>
        </w:rPr>
        <w:t>人事行政領域大學以上</w:t>
      </w:r>
      <w:r w:rsidR="00787198" w:rsidRPr="00BB6C49">
        <w:rPr>
          <w:rFonts w:ascii="標楷體" w:eastAsia="標楷體" w:hAnsi="標楷體"/>
          <w:color w:val="000000" w:themeColor="text1"/>
          <w:sz w:val="26"/>
          <w:szCs w:val="26"/>
        </w:rPr>
        <w:t>教育學歷</w:t>
      </w:r>
      <w:r w:rsidR="00787198" w:rsidRPr="00BB6C49">
        <w:rPr>
          <w:rFonts w:ascii="標楷體" w:eastAsia="標楷體" w:hAnsi="標楷體" w:hint="eastAsia"/>
          <w:color w:val="000000" w:themeColor="text1"/>
          <w:sz w:val="26"/>
          <w:szCs w:val="26"/>
        </w:rPr>
        <w:t>，並以具研究所學歷為宜</w:t>
      </w:r>
      <w:r w:rsidR="00787198" w:rsidRPr="00BB6C49">
        <w:rPr>
          <w:rFonts w:eastAsia="標楷體" w:hint="eastAsia"/>
          <w:color w:val="000000" w:themeColor="text1"/>
          <w:sz w:val="26"/>
          <w:szCs w:val="26"/>
        </w:rPr>
        <w:t>」</w:t>
      </w:r>
      <w:proofErr w:type="gramStart"/>
      <w:r w:rsidR="00787198" w:rsidRPr="00BB6C49">
        <w:rPr>
          <w:rFonts w:eastAsia="標楷體" w:hint="eastAsia"/>
          <w:color w:val="000000" w:themeColor="text1"/>
          <w:sz w:val="26"/>
          <w:szCs w:val="26"/>
        </w:rPr>
        <w:t>）</w:t>
      </w:r>
      <w:proofErr w:type="gramEnd"/>
    </w:p>
    <w:p w:rsidR="008B678B" w:rsidRPr="00BB6C49" w:rsidRDefault="008B678B" w:rsidP="00D2151F">
      <w:pPr>
        <w:spacing w:line="360" w:lineRule="exact"/>
        <w:ind w:leftChars="200" w:left="1000" w:hangingChars="200" w:hanging="520"/>
        <w:jc w:val="both"/>
        <w:rPr>
          <w:rFonts w:eastAsia="標楷體"/>
          <w:color w:val="000000" w:themeColor="text1"/>
          <w:sz w:val="26"/>
          <w:szCs w:val="26"/>
        </w:rPr>
      </w:pPr>
      <w:r w:rsidRPr="00BB6C49">
        <w:rPr>
          <w:rFonts w:eastAsia="標楷體" w:hint="eastAsia"/>
          <w:color w:val="000000" w:themeColor="text1"/>
          <w:sz w:val="26"/>
          <w:szCs w:val="26"/>
        </w:rPr>
        <w:t>(</w:t>
      </w:r>
      <w:r w:rsidR="00BA3656" w:rsidRPr="00BB6C49">
        <w:rPr>
          <w:rFonts w:eastAsia="標楷體" w:hint="eastAsia"/>
          <w:color w:val="000000" w:themeColor="text1"/>
          <w:sz w:val="26"/>
          <w:szCs w:val="26"/>
        </w:rPr>
        <w:t>二</w:t>
      </w:r>
      <w:r w:rsidRPr="00BB6C49">
        <w:rPr>
          <w:rFonts w:eastAsia="標楷體" w:hint="eastAsia"/>
          <w:color w:val="000000" w:themeColor="text1"/>
          <w:sz w:val="26"/>
          <w:szCs w:val="26"/>
        </w:rPr>
        <w:t>)</w:t>
      </w:r>
      <w:r w:rsidRPr="00BB6C49">
        <w:rPr>
          <w:rFonts w:eastAsia="標楷體" w:hint="eastAsia"/>
          <w:color w:val="000000" w:themeColor="text1"/>
          <w:sz w:val="26"/>
          <w:szCs w:val="26"/>
        </w:rPr>
        <w:t>第</w:t>
      </w:r>
      <w:r w:rsidRPr="00BB6C49">
        <w:rPr>
          <w:rFonts w:eastAsia="標楷體" w:hint="eastAsia"/>
          <w:color w:val="000000" w:themeColor="text1"/>
          <w:sz w:val="26"/>
          <w:szCs w:val="26"/>
        </w:rPr>
        <w:t>9</w:t>
      </w:r>
      <w:r w:rsidRPr="00BB6C49">
        <w:rPr>
          <w:rFonts w:eastAsia="標楷體" w:hint="eastAsia"/>
          <w:color w:val="000000" w:themeColor="text1"/>
          <w:sz w:val="26"/>
          <w:szCs w:val="26"/>
        </w:rPr>
        <w:t>項及第</w:t>
      </w:r>
      <w:r w:rsidRPr="00BB6C49">
        <w:rPr>
          <w:rFonts w:eastAsia="標楷體" w:hint="eastAsia"/>
          <w:color w:val="000000" w:themeColor="text1"/>
          <w:sz w:val="26"/>
          <w:szCs w:val="26"/>
        </w:rPr>
        <w:t>10</w:t>
      </w:r>
      <w:r w:rsidRPr="00BB6C49">
        <w:rPr>
          <w:rFonts w:eastAsia="標楷體" w:hint="eastAsia"/>
          <w:color w:val="000000" w:themeColor="text1"/>
          <w:sz w:val="26"/>
          <w:szCs w:val="26"/>
        </w:rPr>
        <w:t>項指標分別計算每項「衡量基準」實際數值後計算平均分數，小數點以下</w:t>
      </w:r>
      <w:r w:rsidRPr="00BB6C49">
        <w:rPr>
          <w:rFonts w:eastAsia="標楷體" w:hint="eastAsia"/>
          <w:color w:val="000000" w:themeColor="text1"/>
          <w:sz w:val="26"/>
          <w:szCs w:val="26"/>
        </w:rPr>
        <w:t>4</w:t>
      </w:r>
      <w:proofErr w:type="gramStart"/>
      <w:r w:rsidRPr="00BB6C49">
        <w:rPr>
          <w:rFonts w:eastAsia="標楷體" w:hint="eastAsia"/>
          <w:color w:val="000000" w:themeColor="text1"/>
          <w:sz w:val="26"/>
          <w:szCs w:val="26"/>
        </w:rPr>
        <w:t>捨</w:t>
      </w:r>
      <w:proofErr w:type="gramEnd"/>
      <w:r w:rsidRPr="00BB6C49">
        <w:rPr>
          <w:rFonts w:eastAsia="標楷體" w:hint="eastAsia"/>
          <w:color w:val="000000" w:themeColor="text1"/>
          <w:sz w:val="26"/>
          <w:szCs w:val="26"/>
        </w:rPr>
        <w:t>5</w:t>
      </w:r>
      <w:r w:rsidRPr="00BB6C49">
        <w:rPr>
          <w:rFonts w:eastAsia="標楷體" w:hint="eastAsia"/>
          <w:color w:val="000000" w:themeColor="text1"/>
          <w:sz w:val="26"/>
          <w:szCs w:val="26"/>
        </w:rPr>
        <w:t>入</w:t>
      </w:r>
      <w:r w:rsidR="00787198" w:rsidRPr="00BB6C49">
        <w:rPr>
          <w:rFonts w:eastAsia="標楷體" w:hint="eastAsia"/>
          <w:color w:val="000000" w:themeColor="text1"/>
          <w:sz w:val="26"/>
          <w:szCs w:val="26"/>
        </w:rPr>
        <w:t>，</w:t>
      </w:r>
      <w:proofErr w:type="gramStart"/>
      <w:r w:rsidR="00787198" w:rsidRPr="00BB6C49">
        <w:rPr>
          <w:rFonts w:eastAsia="標楷體" w:hint="eastAsia"/>
          <w:color w:val="000000" w:themeColor="text1"/>
          <w:sz w:val="26"/>
          <w:szCs w:val="26"/>
        </w:rPr>
        <w:t>說明欄</w:t>
      </w:r>
      <w:r w:rsidR="00D2151F" w:rsidRPr="00BB6C49">
        <w:rPr>
          <w:rFonts w:eastAsia="標楷體" w:hint="eastAsia"/>
          <w:color w:val="000000" w:themeColor="text1"/>
          <w:sz w:val="26"/>
          <w:szCs w:val="26"/>
        </w:rPr>
        <w:t>請</w:t>
      </w:r>
      <w:r w:rsidR="00787198" w:rsidRPr="00BB6C49">
        <w:rPr>
          <w:rFonts w:eastAsia="標楷體" w:hint="eastAsia"/>
          <w:color w:val="000000" w:themeColor="text1"/>
          <w:sz w:val="26"/>
          <w:szCs w:val="26"/>
        </w:rPr>
        <w:t>填</w:t>
      </w:r>
      <w:proofErr w:type="gramEnd"/>
      <w:r w:rsidR="00787198" w:rsidRPr="00BB6C49">
        <w:rPr>
          <w:rFonts w:eastAsia="標楷體" w:hint="eastAsia"/>
          <w:color w:val="000000" w:themeColor="text1"/>
          <w:sz w:val="26"/>
          <w:szCs w:val="26"/>
        </w:rPr>
        <w:t>具</w:t>
      </w:r>
      <w:r w:rsidR="00D2151F" w:rsidRPr="00BB6C49">
        <w:rPr>
          <w:rFonts w:eastAsia="標楷體" w:hint="eastAsia"/>
          <w:color w:val="000000" w:themeColor="text1"/>
          <w:sz w:val="26"/>
          <w:szCs w:val="26"/>
        </w:rPr>
        <w:t>計算方式，並得由人事單位</w:t>
      </w:r>
      <w:proofErr w:type="gramStart"/>
      <w:r w:rsidR="00D2151F" w:rsidRPr="00BB6C49">
        <w:rPr>
          <w:rFonts w:eastAsia="標楷體" w:hint="eastAsia"/>
          <w:color w:val="000000" w:themeColor="text1"/>
          <w:sz w:val="26"/>
          <w:szCs w:val="26"/>
        </w:rPr>
        <w:t>覈</w:t>
      </w:r>
      <w:proofErr w:type="gramEnd"/>
      <w:r w:rsidR="00D2151F" w:rsidRPr="00BB6C49">
        <w:rPr>
          <w:rFonts w:eastAsia="標楷體" w:hint="eastAsia"/>
          <w:color w:val="000000" w:themeColor="text1"/>
          <w:sz w:val="26"/>
          <w:szCs w:val="26"/>
        </w:rPr>
        <w:t>實</w:t>
      </w:r>
      <w:r w:rsidR="00D345F0" w:rsidRPr="00BB6C49">
        <w:rPr>
          <w:rFonts w:eastAsia="標楷體" w:hint="eastAsia"/>
          <w:color w:val="000000" w:themeColor="text1"/>
          <w:sz w:val="26"/>
          <w:szCs w:val="26"/>
        </w:rPr>
        <w:t>計</w:t>
      </w:r>
      <w:r w:rsidR="00D2151F" w:rsidRPr="00BB6C49">
        <w:rPr>
          <w:rFonts w:eastAsia="標楷體" w:hint="eastAsia"/>
          <w:color w:val="000000" w:themeColor="text1"/>
          <w:sz w:val="26"/>
          <w:szCs w:val="26"/>
        </w:rPr>
        <w:t>算填列</w:t>
      </w:r>
      <w:r w:rsidRPr="00BB6C49">
        <w:rPr>
          <w:rFonts w:eastAsia="標楷體" w:hint="eastAsia"/>
          <w:color w:val="000000" w:themeColor="text1"/>
          <w:sz w:val="26"/>
          <w:szCs w:val="26"/>
        </w:rPr>
        <w:t>。</w:t>
      </w:r>
    </w:p>
    <w:p w:rsidR="008B678B" w:rsidRPr="00BB6C49" w:rsidRDefault="00BA3656" w:rsidP="00D2151F">
      <w:pPr>
        <w:spacing w:line="360" w:lineRule="exact"/>
        <w:ind w:leftChars="400" w:left="1480" w:hangingChars="200" w:hanging="520"/>
        <w:jc w:val="both"/>
        <w:rPr>
          <w:rFonts w:eastAsia="標楷體"/>
          <w:color w:val="000000" w:themeColor="text1"/>
          <w:sz w:val="26"/>
          <w:szCs w:val="26"/>
        </w:rPr>
      </w:pPr>
      <w:r w:rsidRPr="00BB6C49">
        <w:rPr>
          <w:rFonts w:eastAsia="標楷體" w:hint="eastAsia"/>
          <w:color w:val="000000" w:themeColor="text1"/>
          <w:sz w:val="26"/>
          <w:szCs w:val="26"/>
        </w:rPr>
        <w:t>１、</w:t>
      </w:r>
      <w:r w:rsidR="008B678B" w:rsidRPr="00BB6C49">
        <w:rPr>
          <w:rFonts w:eastAsia="標楷體" w:hint="eastAsia"/>
          <w:color w:val="000000" w:themeColor="text1"/>
          <w:sz w:val="26"/>
          <w:szCs w:val="26"/>
        </w:rPr>
        <w:t>各項分數計算以實際發生時為</w:t>
      </w:r>
      <w:proofErr w:type="gramStart"/>
      <w:r w:rsidR="008B678B" w:rsidRPr="00BB6C49">
        <w:rPr>
          <w:rFonts w:eastAsia="標楷體" w:hint="eastAsia"/>
          <w:color w:val="000000" w:themeColor="text1"/>
          <w:sz w:val="26"/>
          <w:szCs w:val="26"/>
        </w:rPr>
        <w:t>準</w:t>
      </w:r>
      <w:proofErr w:type="gramEnd"/>
      <w:r w:rsidR="008B678B" w:rsidRPr="00BB6C49">
        <w:rPr>
          <w:rFonts w:eastAsia="標楷體" w:hint="eastAsia"/>
          <w:color w:val="000000" w:themeColor="text1"/>
          <w:sz w:val="26"/>
          <w:szCs w:val="26"/>
        </w:rPr>
        <w:t>，如</w:t>
      </w:r>
      <w:r w:rsidR="008B678B" w:rsidRPr="00BB6C49">
        <w:rPr>
          <w:rFonts w:eastAsia="標楷體" w:hint="eastAsia"/>
          <w:color w:val="000000" w:themeColor="text1"/>
          <w:sz w:val="26"/>
          <w:szCs w:val="26"/>
        </w:rPr>
        <w:t>99</w:t>
      </w:r>
      <w:r w:rsidR="008B678B" w:rsidRPr="00BB6C49">
        <w:rPr>
          <w:rFonts w:eastAsia="標楷體" w:hint="eastAsia"/>
          <w:color w:val="000000" w:themeColor="text1"/>
          <w:sz w:val="26"/>
          <w:szCs w:val="26"/>
        </w:rPr>
        <w:t>年度地方特考及格人員如於</w:t>
      </w:r>
      <w:r w:rsidR="008B678B" w:rsidRPr="00BB6C49">
        <w:rPr>
          <w:rFonts w:eastAsia="標楷體" w:hint="eastAsia"/>
          <w:color w:val="000000" w:themeColor="text1"/>
          <w:sz w:val="26"/>
          <w:szCs w:val="26"/>
        </w:rPr>
        <w:t>100</w:t>
      </w:r>
      <w:r w:rsidR="008B678B" w:rsidRPr="00BB6C49">
        <w:rPr>
          <w:rFonts w:eastAsia="標楷體" w:hint="eastAsia"/>
          <w:color w:val="000000" w:themeColor="text1"/>
          <w:sz w:val="26"/>
          <w:szCs w:val="26"/>
        </w:rPr>
        <w:t>年分發至本單位，則以</w:t>
      </w:r>
      <w:proofErr w:type="gramStart"/>
      <w:r w:rsidR="008B678B" w:rsidRPr="00BB6C49">
        <w:rPr>
          <w:rFonts w:eastAsia="標楷體" w:hint="eastAsia"/>
          <w:color w:val="000000" w:themeColor="text1"/>
          <w:sz w:val="26"/>
          <w:szCs w:val="26"/>
        </w:rPr>
        <w:t>100</w:t>
      </w:r>
      <w:proofErr w:type="gramEnd"/>
      <w:r w:rsidR="008B678B" w:rsidRPr="00BB6C49">
        <w:rPr>
          <w:rFonts w:eastAsia="標楷體" w:hint="eastAsia"/>
          <w:color w:val="000000" w:themeColor="text1"/>
          <w:sz w:val="26"/>
          <w:szCs w:val="26"/>
        </w:rPr>
        <w:t>年度國家考試分發人員計算；離（辭）</w:t>
      </w:r>
      <w:proofErr w:type="gramStart"/>
      <w:r w:rsidR="008B678B" w:rsidRPr="00BB6C49">
        <w:rPr>
          <w:rFonts w:eastAsia="標楷體" w:hint="eastAsia"/>
          <w:color w:val="000000" w:themeColor="text1"/>
          <w:sz w:val="26"/>
          <w:szCs w:val="26"/>
        </w:rPr>
        <w:t>職亦同</w:t>
      </w:r>
      <w:proofErr w:type="gramEnd"/>
      <w:r w:rsidR="008B678B" w:rsidRPr="00BB6C49">
        <w:rPr>
          <w:rFonts w:eastAsia="標楷體" w:hint="eastAsia"/>
          <w:color w:val="000000" w:themeColor="text1"/>
          <w:sz w:val="26"/>
          <w:szCs w:val="26"/>
        </w:rPr>
        <w:t>。</w:t>
      </w:r>
    </w:p>
    <w:p w:rsidR="008B678B" w:rsidRPr="00BB6C49" w:rsidRDefault="00BA3656" w:rsidP="00D2151F">
      <w:pPr>
        <w:spacing w:line="360" w:lineRule="exact"/>
        <w:ind w:leftChars="400" w:left="1480" w:hangingChars="200" w:hanging="520"/>
        <w:jc w:val="both"/>
        <w:rPr>
          <w:rFonts w:eastAsia="標楷體"/>
          <w:color w:val="000000" w:themeColor="text1"/>
          <w:sz w:val="26"/>
          <w:szCs w:val="26"/>
        </w:rPr>
      </w:pPr>
      <w:r w:rsidRPr="00BB6C49">
        <w:rPr>
          <w:rFonts w:eastAsia="標楷體" w:hint="eastAsia"/>
          <w:color w:val="000000" w:themeColor="text1"/>
          <w:sz w:val="26"/>
          <w:szCs w:val="26"/>
        </w:rPr>
        <w:t>２、</w:t>
      </w:r>
      <w:r w:rsidR="008B678B" w:rsidRPr="00BB6C49">
        <w:rPr>
          <w:rFonts w:eastAsia="標楷體" w:hint="eastAsia"/>
          <w:color w:val="000000" w:themeColor="text1"/>
          <w:sz w:val="26"/>
          <w:szCs w:val="26"/>
        </w:rPr>
        <w:t>如為新成立機關（包含整</w:t>
      </w:r>
      <w:proofErr w:type="gramStart"/>
      <w:r w:rsidR="008B678B" w:rsidRPr="00BB6C49">
        <w:rPr>
          <w:rFonts w:eastAsia="標楷體" w:hint="eastAsia"/>
          <w:color w:val="000000" w:themeColor="text1"/>
          <w:sz w:val="26"/>
          <w:szCs w:val="26"/>
        </w:rPr>
        <w:t>併</w:t>
      </w:r>
      <w:proofErr w:type="gramEnd"/>
      <w:r w:rsidR="008B678B" w:rsidRPr="00BB6C49">
        <w:rPr>
          <w:rFonts w:eastAsia="標楷體" w:hint="eastAsia"/>
          <w:color w:val="000000" w:themeColor="text1"/>
          <w:sz w:val="26"/>
          <w:szCs w:val="26"/>
        </w:rPr>
        <w:t>其他機關成立之新機關，不含單獨改制成立者）自機關成立年度計算第</w:t>
      </w:r>
      <w:r w:rsidR="008B678B" w:rsidRPr="00BB6C49">
        <w:rPr>
          <w:rFonts w:eastAsia="標楷體" w:hint="eastAsia"/>
          <w:color w:val="000000" w:themeColor="text1"/>
          <w:sz w:val="26"/>
          <w:szCs w:val="26"/>
        </w:rPr>
        <w:t>9</w:t>
      </w:r>
      <w:r w:rsidR="008B678B" w:rsidRPr="00BB6C49">
        <w:rPr>
          <w:rFonts w:eastAsia="標楷體" w:hint="eastAsia"/>
          <w:color w:val="000000" w:themeColor="text1"/>
          <w:sz w:val="26"/>
          <w:szCs w:val="26"/>
        </w:rPr>
        <w:t>項及第</w:t>
      </w:r>
      <w:r w:rsidR="008B678B" w:rsidRPr="00BB6C49">
        <w:rPr>
          <w:rFonts w:eastAsia="標楷體" w:hint="eastAsia"/>
          <w:color w:val="000000" w:themeColor="text1"/>
          <w:sz w:val="26"/>
          <w:szCs w:val="26"/>
        </w:rPr>
        <w:t>10</w:t>
      </w:r>
      <w:r w:rsidR="008B678B" w:rsidRPr="00BB6C49">
        <w:rPr>
          <w:rFonts w:eastAsia="標楷體" w:hint="eastAsia"/>
          <w:color w:val="000000" w:themeColor="text1"/>
          <w:sz w:val="26"/>
          <w:szCs w:val="26"/>
        </w:rPr>
        <w:t>項指標各衡量基準實際數值。</w:t>
      </w:r>
    </w:p>
    <w:p w:rsidR="000852E3" w:rsidRPr="00BB6C49" w:rsidRDefault="00BA3656" w:rsidP="00D2151F">
      <w:pPr>
        <w:spacing w:line="360" w:lineRule="exact"/>
        <w:ind w:left="520" w:hangingChars="200" w:hanging="520"/>
        <w:jc w:val="both"/>
        <w:rPr>
          <w:rFonts w:eastAsia="標楷體"/>
          <w:color w:val="000000" w:themeColor="text1"/>
          <w:sz w:val="26"/>
          <w:szCs w:val="26"/>
        </w:rPr>
      </w:pPr>
      <w:r w:rsidRPr="00BB6C49">
        <w:rPr>
          <w:rFonts w:eastAsia="標楷體" w:hint="eastAsia"/>
          <w:color w:val="000000" w:themeColor="text1"/>
          <w:sz w:val="26"/>
          <w:szCs w:val="26"/>
        </w:rPr>
        <w:t>四、</w:t>
      </w:r>
      <w:r w:rsidR="00B96B9B" w:rsidRPr="00BB6C49">
        <w:rPr>
          <w:rFonts w:eastAsia="標楷體" w:hint="eastAsia"/>
          <w:color w:val="000000" w:themeColor="text1"/>
          <w:sz w:val="26"/>
          <w:szCs w:val="26"/>
        </w:rPr>
        <w:t>受評機關</w:t>
      </w:r>
      <w:r w:rsidR="00D2151F" w:rsidRPr="00BB6C49">
        <w:rPr>
          <w:rFonts w:eastAsia="標楷體" w:hint="eastAsia"/>
          <w:color w:val="000000" w:themeColor="text1"/>
          <w:sz w:val="26"/>
          <w:szCs w:val="26"/>
        </w:rPr>
        <w:t>（</w:t>
      </w:r>
      <w:r w:rsidR="00B96B9B" w:rsidRPr="00BB6C49">
        <w:rPr>
          <w:rFonts w:eastAsia="標楷體" w:hint="eastAsia"/>
          <w:color w:val="000000" w:themeColor="text1"/>
          <w:sz w:val="26"/>
          <w:szCs w:val="26"/>
        </w:rPr>
        <w:t>單位</w:t>
      </w:r>
      <w:r w:rsidR="00D2151F" w:rsidRPr="00BB6C49">
        <w:rPr>
          <w:rFonts w:eastAsia="標楷體" w:hint="eastAsia"/>
          <w:color w:val="000000" w:themeColor="text1"/>
          <w:sz w:val="26"/>
          <w:szCs w:val="26"/>
        </w:rPr>
        <w:t>）</w:t>
      </w:r>
      <w:r w:rsidR="00B96B9B" w:rsidRPr="00BB6C49">
        <w:rPr>
          <w:rFonts w:eastAsia="標楷體" w:hint="eastAsia"/>
          <w:color w:val="000000" w:themeColor="text1"/>
          <w:sz w:val="26"/>
          <w:szCs w:val="26"/>
        </w:rPr>
        <w:t>如因業務極具特殊性，</w:t>
      </w:r>
      <w:r w:rsidR="00D2151F" w:rsidRPr="00BB6C49">
        <w:rPr>
          <w:rFonts w:eastAsia="標楷體" w:hint="eastAsia"/>
          <w:color w:val="000000" w:themeColor="text1"/>
          <w:sz w:val="26"/>
          <w:szCs w:val="26"/>
        </w:rPr>
        <w:t>上述</w:t>
      </w:r>
      <w:r w:rsidR="00B96B9B" w:rsidRPr="00BB6C49">
        <w:rPr>
          <w:rFonts w:eastAsia="標楷體" w:hint="eastAsia"/>
          <w:color w:val="000000" w:themeColor="text1"/>
          <w:sz w:val="26"/>
          <w:szCs w:val="26"/>
        </w:rPr>
        <w:t>10</w:t>
      </w:r>
      <w:r w:rsidR="00B96B9B" w:rsidRPr="00BB6C49">
        <w:rPr>
          <w:rFonts w:eastAsia="標楷體" w:hint="eastAsia"/>
          <w:color w:val="000000" w:themeColor="text1"/>
          <w:sz w:val="26"/>
          <w:szCs w:val="26"/>
        </w:rPr>
        <w:t>項評價指標無法完全含</w:t>
      </w:r>
      <w:proofErr w:type="gramStart"/>
      <w:r w:rsidR="00B96B9B" w:rsidRPr="00BB6C49">
        <w:rPr>
          <w:rFonts w:eastAsia="標楷體" w:hint="eastAsia"/>
          <w:color w:val="000000" w:themeColor="text1"/>
          <w:sz w:val="26"/>
          <w:szCs w:val="26"/>
        </w:rPr>
        <w:t>括</w:t>
      </w:r>
      <w:proofErr w:type="gramEnd"/>
      <w:r w:rsidR="00B96B9B" w:rsidRPr="00BB6C49">
        <w:rPr>
          <w:rFonts w:eastAsia="標楷體" w:hint="eastAsia"/>
          <w:color w:val="000000" w:themeColor="text1"/>
          <w:sz w:val="26"/>
          <w:szCs w:val="26"/>
        </w:rPr>
        <w:t>，且無法由主管機關適度調整</w:t>
      </w:r>
      <w:r w:rsidR="00D2151F" w:rsidRPr="00BB6C49">
        <w:rPr>
          <w:rFonts w:eastAsia="標楷體" w:hint="eastAsia"/>
          <w:color w:val="000000" w:themeColor="text1"/>
          <w:sz w:val="26"/>
          <w:szCs w:val="26"/>
        </w:rPr>
        <w:t>各評價指標「衡量基準」</w:t>
      </w:r>
      <w:r w:rsidR="00B96B9B" w:rsidRPr="00BB6C49">
        <w:rPr>
          <w:rFonts w:eastAsia="標楷體" w:hint="eastAsia"/>
          <w:color w:val="000000" w:themeColor="text1"/>
          <w:sz w:val="26"/>
          <w:szCs w:val="26"/>
        </w:rPr>
        <w:t>者，得於「</w:t>
      </w:r>
      <w:r w:rsidRPr="00BB6C49">
        <w:rPr>
          <w:rFonts w:eastAsia="標楷體" w:hint="eastAsia"/>
          <w:color w:val="000000" w:themeColor="text1"/>
          <w:sz w:val="26"/>
          <w:szCs w:val="26"/>
        </w:rPr>
        <w:t>其他</w:t>
      </w:r>
      <w:r w:rsidR="00CB3CAB" w:rsidRPr="00BB6C49">
        <w:rPr>
          <w:rFonts w:eastAsia="標楷體" w:hint="eastAsia"/>
          <w:color w:val="000000" w:themeColor="text1"/>
          <w:sz w:val="26"/>
          <w:szCs w:val="26"/>
        </w:rPr>
        <w:t>建議</w:t>
      </w:r>
      <w:r w:rsidR="00B96B9B" w:rsidRPr="00BB6C49">
        <w:rPr>
          <w:rFonts w:eastAsia="標楷體" w:hint="eastAsia"/>
          <w:color w:val="000000" w:themeColor="text1"/>
          <w:sz w:val="26"/>
          <w:szCs w:val="26"/>
        </w:rPr>
        <w:t>」中敘明理由</w:t>
      </w:r>
      <w:r w:rsidR="00D2151F" w:rsidRPr="00BB6C49">
        <w:rPr>
          <w:rFonts w:eastAsia="標楷體" w:hint="eastAsia"/>
          <w:color w:val="000000" w:themeColor="text1"/>
          <w:sz w:val="26"/>
          <w:szCs w:val="26"/>
        </w:rPr>
        <w:t>、</w:t>
      </w:r>
      <w:r w:rsidR="00B96B9B" w:rsidRPr="00BB6C49">
        <w:rPr>
          <w:rFonts w:eastAsia="標楷體" w:hint="eastAsia"/>
          <w:color w:val="000000" w:themeColor="text1"/>
          <w:sz w:val="26"/>
          <w:szCs w:val="26"/>
        </w:rPr>
        <w:t>具體評價指標</w:t>
      </w:r>
      <w:r w:rsidR="00D2151F" w:rsidRPr="00BB6C49">
        <w:rPr>
          <w:rFonts w:eastAsia="標楷體" w:hint="eastAsia"/>
          <w:color w:val="000000" w:themeColor="text1"/>
          <w:sz w:val="26"/>
          <w:szCs w:val="26"/>
        </w:rPr>
        <w:t>、衡量基準及分數區間</w:t>
      </w:r>
      <w:r w:rsidR="00B96B9B" w:rsidRPr="00BB6C49">
        <w:rPr>
          <w:rFonts w:eastAsia="標楷體" w:hint="eastAsia"/>
          <w:color w:val="000000" w:themeColor="text1"/>
          <w:sz w:val="26"/>
          <w:szCs w:val="26"/>
        </w:rPr>
        <w:t>，並</w:t>
      </w:r>
      <w:r w:rsidR="00D2151F" w:rsidRPr="00BB6C49">
        <w:rPr>
          <w:rFonts w:eastAsia="標楷體" w:hint="eastAsia"/>
          <w:color w:val="000000" w:themeColor="text1"/>
          <w:sz w:val="26"/>
          <w:szCs w:val="26"/>
        </w:rPr>
        <w:t>由主管機關審酌後，</w:t>
      </w:r>
      <w:r w:rsidR="00B96B9B" w:rsidRPr="00BB6C49">
        <w:rPr>
          <w:rFonts w:eastAsia="標楷體" w:hint="eastAsia"/>
          <w:color w:val="000000" w:themeColor="text1"/>
          <w:sz w:val="26"/>
          <w:szCs w:val="26"/>
        </w:rPr>
        <w:t>於</w:t>
      </w:r>
      <w:r w:rsidR="00CB3CAB" w:rsidRPr="00BB6C49">
        <w:rPr>
          <w:rFonts w:eastAsia="標楷體" w:hint="eastAsia"/>
          <w:color w:val="000000" w:themeColor="text1"/>
          <w:sz w:val="26"/>
          <w:szCs w:val="26"/>
        </w:rPr>
        <w:t>自評結果報告</w:t>
      </w:r>
      <w:r w:rsidR="00B96B9B" w:rsidRPr="00BB6C49">
        <w:rPr>
          <w:rFonts w:eastAsia="標楷體" w:hint="eastAsia"/>
          <w:color w:val="000000" w:themeColor="text1"/>
          <w:sz w:val="26"/>
          <w:szCs w:val="26"/>
        </w:rPr>
        <w:t>說明，</w:t>
      </w:r>
      <w:proofErr w:type="gramStart"/>
      <w:r w:rsidR="00B96B9B" w:rsidRPr="00BB6C49">
        <w:rPr>
          <w:rFonts w:eastAsia="標楷體" w:hint="eastAsia"/>
          <w:color w:val="000000" w:themeColor="text1"/>
          <w:sz w:val="26"/>
          <w:szCs w:val="26"/>
        </w:rPr>
        <w:t>俾</w:t>
      </w:r>
      <w:proofErr w:type="gramEnd"/>
      <w:r w:rsidR="00B96B9B" w:rsidRPr="00BB6C49">
        <w:rPr>
          <w:rFonts w:eastAsia="標楷體" w:hint="eastAsia"/>
          <w:color w:val="000000" w:themeColor="text1"/>
          <w:sz w:val="26"/>
          <w:szCs w:val="26"/>
        </w:rPr>
        <w:t>作為評價機制建構及調整時之參考。</w:t>
      </w:r>
    </w:p>
    <w:sectPr w:rsidR="000852E3" w:rsidRPr="00BB6C49" w:rsidSect="00BA3656">
      <w:footerReference w:type="default" r:id="rId10"/>
      <w:footnotePr>
        <w:numFmt w:val="lowerLetter"/>
      </w:footnotePr>
      <w:pgSz w:w="11907" w:h="16839"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51" w:rsidRDefault="00D53C51" w:rsidP="004A71FF">
      <w:r>
        <w:separator/>
      </w:r>
    </w:p>
  </w:endnote>
  <w:endnote w:type="continuationSeparator" w:id="0">
    <w:p w:rsidR="00D53C51" w:rsidRDefault="00D53C51"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12507"/>
      <w:docPartObj>
        <w:docPartGallery w:val="Page Numbers (Bottom of Page)"/>
        <w:docPartUnique/>
      </w:docPartObj>
    </w:sdtPr>
    <w:sdtContent>
      <w:p w:rsidR="00CA505E" w:rsidRDefault="00CA505E">
        <w:pPr>
          <w:pStyle w:val="a9"/>
          <w:jc w:val="center"/>
        </w:pPr>
        <w:r>
          <w:fldChar w:fldCharType="begin"/>
        </w:r>
        <w:r>
          <w:instrText>PAGE   \* MERGEFORMAT</w:instrText>
        </w:r>
        <w:r>
          <w:fldChar w:fldCharType="separate"/>
        </w:r>
        <w:r w:rsidRPr="00CA505E">
          <w:rPr>
            <w:noProof/>
            <w:lang w:val="zh-TW"/>
          </w:rPr>
          <w:t>1</w:t>
        </w:r>
        <w:r>
          <w:fldChar w:fldCharType="end"/>
        </w:r>
      </w:p>
    </w:sdtContent>
  </w:sdt>
  <w:p w:rsidR="00CA505E" w:rsidRDefault="00CA50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32425"/>
      <w:docPartObj>
        <w:docPartGallery w:val="Page Numbers (Bottom of Page)"/>
        <w:docPartUnique/>
      </w:docPartObj>
    </w:sdtPr>
    <w:sdtEndPr/>
    <w:sdtContent>
      <w:p w:rsidR="004D501D" w:rsidRDefault="004D501D">
        <w:pPr>
          <w:pStyle w:val="a9"/>
          <w:jc w:val="center"/>
        </w:pPr>
        <w:r>
          <w:fldChar w:fldCharType="begin"/>
        </w:r>
        <w:r>
          <w:instrText>PAGE   \* MERGEFORMAT</w:instrText>
        </w:r>
        <w:r>
          <w:fldChar w:fldCharType="separate"/>
        </w:r>
        <w:r w:rsidR="00CA505E" w:rsidRPr="00CA505E">
          <w:rPr>
            <w:noProof/>
            <w:lang w:val="zh-TW"/>
          </w:rPr>
          <w:t>5</w:t>
        </w:r>
        <w:r>
          <w:fldChar w:fldCharType="end"/>
        </w:r>
      </w:p>
    </w:sdtContent>
  </w:sdt>
  <w:p w:rsidR="004D501D" w:rsidRDefault="004D50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51" w:rsidRDefault="00D53C51" w:rsidP="004A71FF">
      <w:r>
        <w:separator/>
      </w:r>
    </w:p>
  </w:footnote>
  <w:footnote w:type="continuationSeparator" w:id="0">
    <w:p w:rsidR="00D53C51" w:rsidRDefault="00D53C51" w:rsidP="004A71FF">
      <w:r>
        <w:continuationSeparator/>
      </w:r>
    </w:p>
  </w:footnote>
  <w:footnote w:id="1">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00A70FE6">
        <w:rPr>
          <w:rFonts w:ascii="標楷體" w:eastAsia="標楷體" w:hAnsi="標楷體" w:hint="eastAsia"/>
          <w:color w:val="000000" w:themeColor="text1"/>
          <w:sz w:val="22"/>
          <w:szCs w:val="24"/>
        </w:rPr>
        <w:t xml:space="preserve"> </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年度國家考試分發人員報到率=</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年度國家考試報到人數/</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年度國家考試分發人數</w:t>
      </w:r>
      <w:r w:rsidR="00A17D07" w:rsidRPr="00682428">
        <w:rPr>
          <w:rFonts w:ascii="標楷體" w:eastAsia="標楷體" w:hAnsi="標楷體" w:hint="eastAsia"/>
          <w:color w:val="FF0000"/>
          <w:sz w:val="22"/>
          <w:szCs w:val="24"/>
          <w:u w:val="single"/>
          <w:shd w:val="pct15" w:color="auto" w:fill="FFFFFF"/>
        </w:rPr>
        <w:t>。如</w:t>
      </w:r>
      <w:r w:rsidR="006E13EA" w:rsidRPr="00682428">
        <w:rPr>
          <w:rFonts w:ascii="標楷體" w:eastAsia="標楷體" w:hAnsi="標楷體" w:hint="eastAsia"/>
          <w:color w:val="FF0000"/>
          <w:sz w:val="22"/>
          <w:szCs w:val="24"/>
          <w:u w:val="single"/>
          <w:shd w:val="pct15" w:color="auto" w:fill="FFFFFF"/>
        </w:rPr>
        <w:t>當年度無國家考試分發人員，</w:t>
      </w:r>
      <w:r w:rsidR="00A17D07" w:rsidRPr="00682428">
        <w:rPr>
          <w:rFonts w:ascii="標楷體" w:eastAsia="標楷體" w:hAnsi="標楷體" w:hint="eastAsia"/>
          <w:color w:val="FF0000"/>
          <w:sz w:val="22"/>
          <w:szCs w:val="24"/>
          <w:u w:val="single"/>
          <w:shd w:val="pct15" w:color="auto" w:fill="FFFFFF"/>
        </w:rPr>
        <w:t>本項分數為0分</w:t>
      </w:r>
      <w:r w:rsidRPr="00BA3656">
        <w:rPr>
          <w:rFonts w:ascii="標楷體" w:eastAsia="標楷體" w:hAnsi="標楷體" w:hint="eastAsia"/>
          <w:color w:val="000000" w:themeColor="text1"/>
          <w:sz w:val="22"/>
          <w:szCs w:val="24"/>
        </w:rPr>
        <w:t>（</w:t>
      </w:r>
      <w:proofErr w:type="gramStart"/>
      <w:r w:rsidRPr="00BA3656">
        <w:rPr>
          <w:rFonts w:ascii="標楷體" w:eastAsia="標楷體" w:hAnsi="標楷體" w:hint="eastAsia"/>
          <w:color w:val="000000" w:themeColor="text1"/>
          <w:sz w:val="22"/>
          <w:szCs w:val="24"/>
        </w:rPr>
        <w:t>103</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104</w:t>
      </w:r>
      <w:proofErr w:type="gramEnd"/>
      <w:r w:rsidRPr="00BA3656">
        <w:rPr>
          <w:rFonts w:ascii="標楷體" w:eastAsia="標楷體" w:hAnsi="標楷體" w:hint="eastAsia"/>
          <w:color w:val="000000" w:themeColor="text1"/>
          <w:sz w:val="22"/>
          <w:szCs w:val="24"/>
        </w:rPr>
        <w:t>年度以此類推後計算平均數）。</w:t>
      </w:r>
    </w:p>
  </w:footnote>
  <w:footnote w:id="2">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00A70FE6">
        <w:rPr>
          <w:rFonts w:ascii="標楷體" w:eastAsia="標楷體" w:hAnsi="標楷體" w:hint="eastAsia"/>
          <w:color w:val="000000" w:themeColor="text1"/>
          <w:sz w:val="22"/>
          <w:szCs w:val="24"/>
        </w:rPr>
        <w:t xml:space="preserve"> </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年度職員</w:t>
      </w:r>
      <w:proofErr w:type="gramStart"/>
      <w:r w:rsidRPr="00BA3656">
        <w:rPr>
          <w:rFonts w:ascii="標楷體" w:eastAsia="標楷體" w:hAnsi="標楷體" w:hint="eastAsia"/>
          <w:color w:val="000000" w:themeColor="text1"/>
          <w:sz w:val="22"/>
          <w:szCs w:val="24"/>
        </w:rPr>
        <w:t>外補職缺</w:t>
      </w:r>
      <w:proofErr w:type="gramEnd"/>
      <w:r w:rsidRPr="00BA3656">
        <w:rPr>
          <w:rFonts w:ascii="標楷體" w:eastAsia="標楷體" w:hAnsi="標楷體" w:hint="eastAsia"/>
          <w:color w:val="000000" w:themeColor="text1"/>
          <w:sz w:val="22"/>
          <w:szCs w:val="24"/>
        </w:rPr>
        <w:t>第一次辦理甄選作業之</w:t>
      </w:r>
      <w:proofErr w:type="gramStart"/>
      <w:r w:rsidRPr="00BA3656">
        <w:rPr>
          <w:rFonts w:ascii="標楷體" w:eastAsia="標楷體" w:hAnsi="標楷體"/>
          <w:color w:val="000000" w:themeColor="text1"/>
          <w:sz w:val="22"/>
          <w:szCs w:val="24"/>
        </w:rPr>
        <w:t>補實率</w:t>
      </w:r>
      <w:proofErr w:type="gramEnd"/>
      <w:r w:rsidRPr="00BA3656">
        <w:rPr>
          <w:rFonts w:ascii="標楷體" w:eastAsia="標楷體" w:hAnsi="標楷體" w:hint="eastAsia"/>
          <w:color w:val="000000" w:themeColor="text1"/>
          <w:sz w:val="22"/>
          <w:szCs w:val="24"/>
        </w:rPr>
        <w:t>=第1次甄選即補實職務數/</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年度職員外補職務數</w:t>
      </w:r>
      <w:proofErr w:type="gramStart"/>
      <w:r w:rsidRPr="00BA3656">
        <w:rPr>
          <w:rFonts w:ascii="標楷體" w:eastAsia="標楷體" w:hAnsi="標楷體" w:hint="eastAsia"/>
          <w:color w:val="000000" w:themeColor="text1"/>
          <w:sz w:val="22"/>
          <w:szCs w:val="24"/>
        </w:rPr>
        <w:t>（</w:t>
      </w:r>
      <w:proofErr w:type="gramEnd"/>
      <w:r w:rsidRPr="00BA3656">
        <w:rPr>
          <w:rFonts w:ascii="標楷體" w:eastAsia="標楷體" w:hAnsi="標楷體" w:hint="eastAsia"/>
          <w:color w:val="000000" w:themeColor="text1"/>
          <w:sz w:val="22"/>
          <w:szCs w:val="24"/>
        </w:rPr>
        <w:t>如某單位</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年度僅有科員職務1名出缺，辦理3次甄選作業後補實，外補職務數計為1、第1次甄選即補實數計為0，補實率為0。</w:t>
      </w:r>
      <w:r w:rsidR="00A17D07" w:rsidRPr="00682428">
        <w:rPr>
          <w:rFonts w:ascii="標楷體" w:eastAsia="標楷體" w:hAnsi="標楷體" w:hint="eastAsia"/>
          <w:color w:val="FF0000"/>
          <w:sz w:val="22"/>
          <w:szCs w:val="24"/>
          <w:u w:val="single"/>
          <w:shd w:val="pct15" w:color="auto" w:fill="FFFFFF"/>
        </w:rPr>
        <w:t>如當年度無須辦理職員</w:t>
      </w:r>
      <w:proofErr w:type="gramStart"/>
      <w:r w:rsidR="00B71D95" w:rsidRPr="00682428">
        <w:rPr>
          <w:rFonts w:ascii="標楷體" w:eastAsia="標楷體" w:hAnsi="標楷體" w:hint="eastAsia"/>
          <w:color w:val="FF0000"/>
          <w:sz w:val="22"/>
          <w:szCs w:val="24"/>
          <w:u w:val="single"/>
          <w:shd w:val="pct15" w:color="auto" w:fill="FFFFFF"/>
        </w:rPr>
        <w:t>職缺</w:t>
      </w:r>
      <w:r w:rsidR="00A17D07" w:rsidRPr="00682428">
        <w:rPr>
          <w:rFonts w:ascii="標楷體" w:eastAsia="標楷體" w:hAnsi="標楷體" w:hint="eastAsia"/>
          <w:color w:val="FF0000"/>
          <w:sz w:val="22"/>
          <w:szCs w:val="24"/>
          <w:u w:val="single"/>
          <w:shd w:val="pct15" w:color="auto" w:fill="FFFFFF"/>
        </w:rPr>
        <w:t>外補</w:t>
      </w:r>
      <w:proofErr w:type="gramEnd"/>
      <w:r w:rsidR="00A17D07" w:rsidRPr="00682428">
        <w:rPr>
          <w:rFonts w:ascii="標楷體" w:eastAsia="標楷體" w:hAnsi="標楷體" w:hint="eastAsia"/>
          <w:color w:val="FF0000"/>
          <w:sz w:val="22"/>
          <w:szCs w:val="24"/>
          <w:u w:val="single"/>
          <w:shd w:val="pct15" w:color="auto" w:fill="FFFFFF"/>
        </w:rPr>
        <w:t>甄選作業，本項分數為0分。</w:t>
      </w:r>
      <w:proofErr w:type="gramStart"/>
      <w:r w:rsidRPr="00BA3656">
        <w:rPr>
          <w:rFonts w:ascii="標楷體" w:eastAsia="標楷體" w:hAnsi="標楷體" w:hint="eastAsia"/>
          <w:color w:val="000000" w:themeColor="text1"/>
          <w:sz w:val="22"/>
          <w:szCs w:val="24"/>
        </w:rPr>
        <w:t>103</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104</w:t>
      </w:r>
      <w:proofErr w:type="gramEnd"/>
      <w:r w:rsidRPr="00BA3656">
        <w:rPr>
          <w:rFonts w:ascii="標楷體" w:eastAsia="標楷體" w:hAnsi="標楷體" w:hint="eastAsia"/>
          <w:color w:val="000000" w:themeColor="text1"/>
          <w:sz w:val="22"/>
          <w:szCs w:val="24"/>
        </w:rPr>
        <w:t>年度以此類推後計算平均數</w:t>
      </w:r>
      <w:proofErr w:type="gramStart"/>
      <w:r w:rsidRPr="00BA3656">
        <w:rPr>
          <w:rFonts w:ascii="標楷體" w:eastAsia="標楷體" w:hAnsi="標楷體" w:hint="eastAsia"/>
          <w:color w:val="000000" w:themeColor="text1"/>
          <w:sz w:val="22"/>
          <w:szCs w:val="24"/>
        </w:rPr>
        <w:t>）</w:t>
      </w:r>
      <w:proofErr w:type="gramEnd"/>
      <w:r w:rsidRPr="00BA3656">
        <w:rPr>
          <w:rFonts w:ascii="標楷體" w:eastAsia="標楷體" w:hAnsi="標楷體" w:hint="eastAsia"/>
          <w:color w:val="000000" w:themeColor="text1"/>
          <w:sz w:val="22"/>
          <w:szCs w:val="24"/>
        </w:rPr>
        <w:t>。</w:t>
      </w:r>
    </w:p>
  </w:footnote>
  <w:footnote w:id="3">
    <w:p w:rsidR="006E13EA" w:rsidRPr="00A17D07" w:rsidRDefault="00D2151F" w:rsidP="00A17D07">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00A70FE6">
        <w:rPr>
          <w:rFonts w:ascii="標楷體" w:eastAsia="標楷體" w:hAnsi="標楷體" w:hint="eastAsia"/>
          <w:color w:val="000000" w:themeColor="text1"/>
          <w:sz w:val="22"/>
          <w:szCs w:val="24"/>
        </w:rPr>
        <w:t xml:space="preserve"> </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年度甄選非現職人員為職務代理人第一次辦理甄選作業之</w:t>
      </w:r>
      <w:proofErr w:type="gramStart"/>
      <w:r w:rsidRPr="00BA3656">
        <w:rPr>
          <w:rFonts w:ascii="標楷體" w:eastAsia="標楷體" w:hAnsi="標楷體"/>
          <w:color w:val="000000" w:themeColor="text1"/>
          <w:sz w:val="22"/>
          <w:szCs w:val="24"/>
        </w:rPr>
        <w:t>補實率</w:t>
      </w:r>
      <w:proofErr w:type="gramEnd"/>
      <w:r w:rsidRPr="00BA3656">
        <w:rPr>
          <w:rFonts w:ascii="標楷體" w:eastAsia="標楷體" w:hAnsi="標楷體" w:hint="eastAsia"/>
          <w:color w:val="000000" w:themeColor="text1"/>
          <w:sz w:val="22"/>
          <w:szCs w:val="24"/>
        </w:rPr>
        <w:t>=第1次辦理甄選作業即補實職務數/</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年度非現職人員代理職務數。</w:t>
      </w:r>
      <w:r w:rsidR="00A17D07" w:rsidRPr="00682428">
        <w:rPr>
          <w:rFonts w:ascii="標楷體" w:eastAsia="標楷體" w:hAnsi="標楷體" w:hint="eastAsia"/>
          <w:color w:val="FF0000"/>
          <w:sz w:val="22"/>
          <w:szCs w:val="24"/>
          <w:u w:val="single"/>
          <w:shd w:val="pct15" w:color="auto" w:fill="FFFFFF"/>
        </w:rPr>
        <w:t>如當年度無須甄選非現職人員為職務代理人，本項分數為0分。</w:t>
      </w:r>
      <w:r w:rsidRPr="00BA3656">
        <w:rPr>
          <w:rFonts w:ascii="標楷體" w:eastAsia="標楷體" w:hAnsi="標楷體" w:hint="eastAsia"/>
          <w:color w:val="000000" w:themeColor="text1"/>
          <w:sz w:val="22"/>
          <w:szCs w:val="24"/>
        </w:rPr>
        <w:t>（</w:t>
      </w:r>
      <w:proofErr w:type="gramStart"/>
      <w:r w:rsidRPr="00BA3656">
        <w:rPr>
          <w:rFonts w:ascii="標楷體" w:eastAsia="標楷體" w:hAnsi="標楷體" w:hint="eastAsia"/>
          <w:color w:val="000000" w:themeColor="text1"/>
          <w:sz w:val="22"/>
          <w:szCs w:val="24"/>
        </w:rPr>
        <w:t>103</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104</w:t>
      </w:r>
      <w:proofErr w:type="gramEnd"/>
      <w:r w:rsidRPr="00BA3656">
        <w:rPr>
          <w:rFonts w:ascii="標楷體" w:eastAsia="標楷體" w:hAnsi="標楷體" w:hint="eastAsia"/>
          <w:color w:val="000000" w:themeColor="text1"/>
          <w:sz w:val="22"/>
          <w:szCs w:val="24"/>
        </w:rPr>
        <w:t>年度以此類推後計算平均數）</w:t>
      </w:r>
    </w:p>
  </w:footnote>
  <w:footnote w:id="4">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Pr="00BA3656">
        <w:rPr>
          <w:rFonts w:ascii="標楷體" w:eastAsia="標楷體" w:hAnsi="標楷體"/>
          <w:color w:val="000000" w:themeColor="text1"/>
          <w:sz w:val="22"/>
          <w:szCs w:val="24"/>
        </w:rPr>
        <w:t xml:space="preserve"> </w:t>
      </w:r>
      <w:r w:rsidRPr="00BA3656">
        <w:rPr>
          <w:rFonts w:ascii="標楷體" w:eastAsia="標楷體" w:hAnsi="標楷體" w:hint="eastAsia"/>
          <w:color w:val="000000" w:themeColor="text1"/>
          <w:sz w:val="22"/>
          <w:szCs w:val="24"/>
        </w:rPr>
        <w:t>99年度</w:t>
      </w:r>
      <w:r w:rsidRPr="00BA3656">
        <w:rPr>
          <w:rFonts w:ascii="標楷體" w:eastAsia="標楷體" w:hAnsi="標楷體"/>
          <w:color w:val="000000" w:themeColor="text1"/>
          <w:sz w:val="22"/>
          <w:szCs w:val="24"/>
        </w:rPr>
        <w:t>國家考試</w:t>
      </w:r>
      <w:r w:rsidRPr="00BA3656">
        <w:rPr>
          <w:rFonts w:ascii="標楷體" w:eastAsia="標楷體" w:hAnsi="標楷體" w:hint="eastAsia"/>
          <w:color w:val="000000" w:themeColor="text1"/>
          <w:sz w:val="22"/>
          <w:szCs w:val="24"/>
        </w:rPr>
        <w:t>分發</w:t>
      </w:r>
      <w:r w:rsidRPr="00BA3656">
        <w:rPr>
          <w:rFonts w:ascii="標楷體" w:eastAsia="標楷體" w:hAnsi="標楷體"/>
          <w:color w:val="000000" w:themeColor="text1"/>
          <w:sz w:val="22"/>
          <w:szCs w:val="24"/>
        </w:rPr>
        <w:t>人員</w:t>
      </w:r>
      <w:r w:rsidRPr="00BA3656">
        <w:rPr>
          <w:rFonts w:ascii="標楷體" w:eastAsia="標楷體" w:hAnsi="標楷體" w:hint="eastAsia"/>
          <w:color w:val="000000" w:themeColor="text1"/>
          <w:sz w:val="22"/>
          <w:szCs w:val="24"/>
        </w:rPr>
        <w:t>於</w:t>
      </w:r>
      <w:r w:rsidRPr="00682428">
        <w:rPr>
          <w:rFonts w:ascii="標楷體" w:eastAsia="標楷體" w:hAnsi="標楷體" w:hint="eastAsia"/>
          <w:strike/>
          <w:color w:val="FF0000"/>
          <w:sz w:val="22"/>
          <w:szCs w:val="24"/>
          <w:shd w:val="pct15" w:color="auto" w:fill="FFFFFF"/>
        </w:rPr>
        <w:t>滿3</w:t>
      </w:r>
      <w:r w:rsidR="00682428" w:rsidRPr="00682428">
        <w:rPr>
          <w:rFonts w:ascii="標楷體" w:eastAsia="標楷體" w:hAnsi="標楷體" w:hint="eastAsia"/>
          <w:color w:val="FF0000"/>
          <w:sz w:val="22"/>
          <w:szCs w:val="24"/>
          <w:u w:val="single"/>
          <w:shd w:val="pct15" w:color="auto" w:fill="FFFFFF"/>
        </w:rPr>
        <w:t>4</w:t>
      </w:r>
      <w:r w:rsidRPr="00682428">
        <w:rPr>
          <w:rFonts w:ascii="標楷體" w:eastAsia="標楷體" w:hAnsi="標楷體" w:hint="eastAsia"/>
          <w:sz w:val="22"/>
          <w:szCs w:val="24"/>
        </w:rPr>
        <w:t>年</w:t>
      </w:r>
      <w:r w:rsidR="00682428" w:rsidRPr="00682428">
        <w:rPr>
          <w:rFonts w:ascii="標楷體" w:eastAsia="標楷體" w:hAnsi="標楷體" w:hint="eastAsia"/>
          <w:color w:val="FF0000"/>
          <w:sz w:val="22"/>
          <w:szCs w:val="24"/>
          <w:u w:val="single"/>
          <w:shd w:val="pct15" w:color="auto" w:fill="FFFFFF"/>
        </w:rPr>
        <w:t>內</w:t>
      </w:r>
      <w:r w:rsidRPr="00BA3656">
        <w:rPr>
          <w:rFonts w:ascii="標楷體" w:eastAsia="標楷體" w:hAnsi="標楷體" w:hint="eastAsia"/>
          <w:color w:val="000000" w:themeColor="text1"/>
          <w:sz w:val="22"/>
          <w:szCs w:val="24"/>
        </w:rPr>
        <w:t>調任他機關之比率=99年度國家考試分發人員於</w:t>
      </w:r>
      <w:proofErr w:type="gramStart"/>
      <w:r w:rsidRPr="00682428">
        <w:rPr>
          <w:rFonts w:ascii="標楷體" w:eastAsia="標楷體" w:hAnsi="標楷體" w:hint="eastAsia"/>
          <w:sz w:val="22"/>
          <w:szCs w:val="24"/>
        </w:rPr>
        <w:t>10</w:t>
      </w:r>
      <w:r w:rsidRPr="00682428">
        <w:rPr>
          <w:rFonts w:ascii="標楷體" w:eastAsia="標楷體" w:hAnsi="標楷體" w:hint="eastAsia"/>
          <w:strike/>
          <w:color w:val="FF0000"/>
          <w:sz w:val="22"/>
          <w:szCs w:val="24"/>
          <w:shd w:val="pct15" w:color="auto" w:fill="FFFFFF"/>
        </w:rPr>
        <w:t>2</w:t>
      </w:r>
      <w:r w:rsidR="00682428" w:rsidRPr="00682428">
        <w:rPr>
          <w:rFonts w:ascii="標楷體" w:eastAsia="標楷體" w:hAnsi="標楷體" w:hint="eastAsia"/>
          <w:color w:val="FF0000"/>
          <w:sz w:val="22"/>
          <w:szCs w:val="24"/>
          <w:u w:val="single"/>
          <w:shd w:val="pct15" w:color="auto" w:fill="FFFFFF"/>
        </w:rPr>
        <w:t>3</w:t>
      </w:r>
      <w:proofErr w:type="gramEnd"/>
      <w:r w:rsidRPr="00682428">
        <w:rPr>
          <w:rFonts w:ascii="標楷體" w:eastAsia="標楷體" w:hAnsi="標楷體" w:hint="eastAsia"/>
          <w:sz w:val="22"/>
          <w:szCs w:val="24"/>
        </w:rPr>
        <w:t>年度</w:t>
      </w:r>
      <w:r w:rsidR="00682428" w:rsidRPr="00682428">
        <w:rPr>
          <w:rFonts w:ascii="標楷體" w:eastAsia="標楷體" w:hAnsi="標楷體" w:hint="eastAsia"/>
          <w:color w:val="FF0000"/>
          <w:sz w:val="22"/>
          <w:szCs w:val="24"/>
          <w:u w:val="single"/>
          <w:shd w:val="pct15" w:color="auto" w:fill="FFFFFF"/>
        </w:rPr>
        <w:t>前</w:t>
      </w:r>
      <w:r w:rsidRPr="00BA3656">
        <w:rPr>
          <w:rFonts w:ascii="標楷體" w:eastAsia="標楷體" w:hAnsi="標楷體" w:hint="eastAsia"/>
          <w:color w:val="000000" w:themeColor="text1"/>
          <w:sz w:val="22"/>
          <w:szCs w:val="24"/>
        </w:rPr>
        <w:t>調任其他機關人數/99年度國家考試分發人數（</w:t>
      </w:r>
      <w:proofErr w:type="gramStart"/>
      <w:r w:rsidRPr="00BA3656">
        <w:rPr>
          <w:rFonts w:ascii="標楷體" w:eastAsia="標楷體" w:hAnsi="標楷體" w:hint="eastAsia"/>
          <w:color w:val="000000" w:themeColor="text1"/>
          <w:sz w:val="22"/>
          <w:szCs w:val="24"/>
        </w:rPr>
        <w:t>100</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101</w:t>
      </w:r>
      <w:proofErr w:type="gramEnd"/>
      <w:r w:rsidRPr="00BA3656">
        <w:rPr>
          <w:rFonts w:ascii="標楷體" w:eastAsia="標楷體" w:hAnsi="標楷體" w:hint="eastAsia"/>
          <w:color w:val="000000" w:themeColor="text1"/>
          <w:sz w:val="22"/>
          <w:szCs w:val="24"/>
        </w:rPr>
        <w:t>年度以此類推後計算平均數）。</w:t>
      </w:r>
    </w:p>
  </w:footnote>
  <w:footnote w:id="5">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Pr="00BA3656">
        <w:rPr>
          <w:rFonts w:ascii="標楷體" w:eastAsia="標楷體" w:hAnsi="標楷體"/>
          <w:color w:val="000000" w:themeColor="text1"/>
          <w:sz w:val="22"/>
          <w:szCs w:val="24"/>
        </w:rPr>
        <w:t xml:space="preserve"> </w:t>
      </w:r>
      <w:r w:rsidRPr="00BA3656">
        <w:rPr>
          <w:rFonts w:ascii="標楷體" w:eastAsia="標楷體" w:hAnsi="標楷體" w:hint="eastAsia"/>
          <w:color w:val="000000" w:themeColor="text1"/>
          <w:sz w:val="22"/>
          <w:szCs w:val="24"/>
        </w:rPr>
        <w:t>99年度</w:t>
      </w:r>
      <w:r w:rsidRPr="00BA3656">
        <w:rPr>
          <w:rFonts w:ascii="標楷體" w:eastAsia="標楷體" w:hAnsi="標楷體"/>
          <w:color w:val="000000" w:themeColor="text1"/>
          <w:sz w:val="22"/>
          <w:szCs w:val="24"/>
        </w:rPr>
        <w:t>國家考試</w:t>
      </w:r>
      <w:r w:rsidRPr="00BA3656">
        <w:rPr>
          <w:rFonts w:ascii="標楷體" w:eastAsia="標楷體" w:hAnsi="標楷體" w:hint="eastAsia"/>
          <w:color w:val="000000" w:themeColor="text1"/>
          <w:sz w:val="22"/>
          <w:szCs w:val="24"/>
        </w:rPr>
        <w:t>分發</w:t>
      </w:r>
      <w:r w:rsidRPr="00BA3656">
        <w:rPr>
          <w:rFonts w:ascii="標楷體" w:eastAsia="標楷體" w:hAnsi="標楷體"/>
          <w:color w:val="000000" w:themeColor="text1"/>
          <w:sz w:val="22"/>
          <w:szCs w:val="24"/>
        </w:rPr>
        <w:t>人員</w:t>
      </w:r>
      <w:r w:rsidRPr="00BA3656">
        <w:rPr>
          <w:rFonts w:ascii="標楷體" w:eastAsia="標楷體" w:hAnsi="標楷體" w:hint="eastAsia"/>
          <w:color w:val="000000" w:themeColor="text1"/>
          <w:sz w:val="22"/>
          <w:szCs w:val="24"/>
        </w:rPr>
        <w:t>3年內辭職</w:t>
      </w:r>
      <w:r w:rsidRPr="00BA3656">
        <w:rPr>
          <w:rFonts w:ascii="標楷體" w:eastAsia="標楷體" w:hAnsi="標楷體"/>
          <w:color w:val="000000" w:themeColor="text1"/>
          <w:sz w:val="22"/>
          <w:szCs w:val="24"/>
        </w:rPr>
        <w:t>率</w:t>
      </w:r>
      <w:r w:rsidRPr="00BA3656">
        <w:rPr>
          <w:rFonts w:ascii="標楷體" w:eastAsia="標楷體" w:hAnsi="標楷體" w:hint="eastAsia"/>
          <w:color w:val="000000" w:themeColor="text1"/>
          <w:sz w:val="22"/>
          <w:szCs w:val="24"/>
        </w:rPr>
        <w:t>=99年度國家考試分發人員於99年至102年辭職人數/99年度國家考試分發人數（</w:t>
      </w:r>
      <w:proofErr w:type="gramStart"/>
      <w:r w:rsidRPr="00BA3656">
        <w:rPr>
          <w:rFonts w:ascii="標楷體" w:eastAsia="標楷體" w:hAnsi="標楷體" w:hint="eastAsia"/>
          <w:color w:val="000000" w:themeColor="text1"/>
          <w:sz w:val="22"/>
          <w:szCs w:val="24"/>
        </w:rPr>
        <w:t>100</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101</w:t>
      </w:r>
      <w:proofErr w:type="gramEnd"/>
      <w:r w:rsidRPr="00BA3656">
        <w:rPr>
          <w:rFonts w:ascii="標楷體" w:eastAsia="標楷體" w:hAnsi="標楷體" w:hint="eastAsia"/>
          <w:color w:val="000000" w:themeColor="text1"/>
          <w:sz w:val="22"/>
          <w:szCs w:val="24"/>
        </w:rPr>
        <w:t>年度以此類推後計算平均數）。</w:t>
      </w:r>
    </w:p>
  </w:footnote>
  <w:footnote w:id="6">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Pr="00BA3656">
        <w:rPr>
          <w:rFonts w:ascii="標楷體" w:eastAsia="標楷體" w:hAnsi="標楷體"/>
          <w:color w:val="000000" w:themeColor="text1"/>
          <w:sz w:val="22"/>
          <w:szCs w:val="24"/>
        </w:rPr>
        <w:t xml:space="preserve"> </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w:t>
      </w:r>
      <w:r w:rsidRPr="00BA3656">
        <w:rPr>
          <w:rFonts w:ascii="標楷體" w:eastAsia="標楷體" w:hAnsi="標楷體"/>
          <w:color w:val="000000" w:themeColor="text1"/>
          <w:sz w:val="22"/>
          <w:szCs w:val="24"/>
        </w:rPr>
        <w:t>本單位</w:t>
      </w:r>
      <w:r w:rsidRPr="00BA3656">
        <w:rPr>
          <w:rFonts w:ascii="標楷體" w:eastAsia="標楷體" w:hAnsi="標楷體" w:hint="eastAsia"/>
          <w:color w:val="000000" w:themeColor="text1"/>
          <w:sz w:val="22"/>
          <w:szCs w:val="24"/>
        </w:rPr>
        <w:t>現職人員（不含考試分發人員）</w:t>
      </w:r>
      <w:r w:rsidRPr="00BA3656">
        <w:rPr>
          <w:rFonts w:ascii="標楷體" w:eastAsia="標楷體" w:hAnsi="標楷體"/>
          <w:color w:val="000000" w:themeColor="text1"/>
          <w:sz w:val="22"/>
          <w:szCs w:val="24"/>
        </w:rPr>
        <w:t>平均辭職率</w:t>
      </w:r>
      <w:r w:rsidRPr="00BA3656">
        <w:rPr>
          <w:rFonts w:ascii="標楷體" w:eastAsia="標楷體" w:hAnsi="標楷體" w:hint="eastAsia"/>
          <w:color w:val="000000" w:themeColor="text1"/>
          <w:sz w:val="22"/>
          <w:szCs w:val="24"/>
        </w:rPr>
        <w:t>=102年全年辭職人數（不含近3年考試分發本單位人員）/</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年度預算員額（</w:t>
      </w:r>
      <w:proofErr w:type="gramStart"/>
      <w:r w:rsidRPr="00BA3656">
        <w:rPr>
          <w:rFonts w:ascii="標楷體" w:eastAsia="標楷體" w:hAnsi="標楷體" w:hint="eastAsia"/>
          <w:color w:val="000000" w:themeColor="text1"/>
          <w:sz w:val="22"/>
          <w:szCs w:val="24"/>
        </w:rPr>
        <w:t>103</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104</w:t>
      </w:r>
      <w:proofErr w:type="gramEnd"/>
      <w:r w:rsidRPr="00BA3656">
        <w:rPr>
          <w:rFonts w:ascii="標楷體" w:eastAsia="標楷體" w:hAnsi="標楷體" w:hint="eastAsia"/>
          <w:color w:val="000000" w:themeColor="text1"/>
          <w:sz w:val="22"/>
          <w:szCs w:val="24"/>
        </w:rPr>
        <w:t>年度以此類推後計算平均數）。</w:t>
      </w:r>
    </w:p>
  </w:footnote>
  <w:footnote w:id="7">
    <w:p w:rsidR="00D2151F" w:rsidRPr="00BA3656" w:rsidRDefault="00D2151F" w:rsidP="00A70FE6">
      <w:pPr>
        <w:pStyle w:val="a4"/>
        <w:spacing w:line="260" w:lineRule="exact"/>
        <w:ind w:left="220" w:hangingChars="100" w:hanging="220"/>
        <w:jc w:val="both"/>
        <w:rPr>
          <w:rFonts w:ascii="標楷體" w:eastAsia="標楷體" w:hAnsi="標楷體"/>
          <w:color w:val="000000" w:themeColor="text1"/>
          <w:sz w:val="22"/>
          <w:szCs w:val="24"/>
        </w:rPr>
      </w:pPr>
      <w:r w:rsidRPr="00BA3656">
        <w:rPr>
          <w:rFonts w:ascii="標楷體" w:eastAsia="標楷體" w:hAnsi="標楷體"/>
          <w:color w:val="000000" w:themeColor="text1"/>
          <w:sz w:val="22"/>
          <w:szCs w:val="24"/>
        </w:rPr>
        <w:footnoteRef/>
      </w:r>
      <w:r w:rsidR="00A70FE6">
        <w:rPr>
          <w:rFonts w:ascii="標楷體" w:eastAsia="標楷體" w:hAnsi="標楷體" w:hint="eastAsia"/>
          <w:color w:val="000000" w:themeColor="text1"/>
          <w:sz w:val="22"/>
          <w:szCs w:val="24"/>
        </w:rPr>
        <w:t xml:space="preserve"> </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w:t>
      </w:r>
      <w:r w:rsidRPr="00BA3656">
        <w:rPr>
          <w:rFonts w:ascii="標楷體" w:eastAsia="標楷體" w:hAnsi="標楷體"/>
          <w:color w:val="000000" w:themeColor="text1"/>
          <w:sz w:val="22"/>
          <w:szCs w:val="24"/>
        </w:rPr>
        <w:t>本單位</w:t>
      </w:r>
      <w:r w:rsidRPr="00BA3656">
        <w:rPr>
          <w:rFonts w:ascii="標楷體" w:eastAsia="標楷體" w:hAnsi="標楷體" w:hint="eastAsia"/>
          <w:color w:val="000000" w:themeColor="text1"/>
          <w:sz w:val="22"/>
          <w:szCs w:val="24"/>
        </w:rPr>
        <w:t>現職人員（不含考試分發人員）</w:t>
      </w:r>
      <w:r w:rsidRPr="00BA3656">
        <w:rPr>
          <w:rFonts w:ascii="標楷體" w:eastAsia="標楷體" w:hAnsi="標楷體"/>
          <w:color w:val="000000" w:themeColor="text1"/>
          <w:sz w:val="22"/>
          <w:szCs w:val="24"/>
        </w:rPr>
        <w:t>平均調</w:t>
      </w:r>
      <w:r w:rsidRPr="00BA3656">
        <w:rPr>
          <w:rFonts w:ascii="標楷體" w:eastAsia="標楷體" w:hAnsi="標楷體" w:hint="eastAsia"/>
          <w:color w:val="000000" w:themeColor="text1"/>
          <w:sz w:val="22"/>
          <w:szCs w:val="24"/>
        </w:rPr>
        <w:t>任</w:t>
      </w:r>
      <w:r w:rsidRPr="00BA3656">
        <w:rPr>
          <w:rFonts w:ascii="標楷體" w:eastAsia="標楷體" w:hAnsi="標楷體"/>
          <w:color w:val="000000" w:themeColor="text1"/>
          <w:sz w:val="22"/>
          <w:szCs w:val="24"/>
        </w:rPr>
        <w:t>其他</w:t>
      </w:r>
      <w:r w:rsidRPr="00BA3656">
        <w:rPr>
          <w:rFonts w:ascii="標楷體" w:eastAsia="標楷體" w:hAnsi="標楷體" w:hint="eastAsia"/>
          <w:color w:val="000000" w:themeColor="text1"/>
          <w:sz w:val="22"/>
          <w:szCs w:val="24"/>
        </w:rPr>
        <w:t>機關之</w:t>
      </w:r>
      <w:r w:rsidRPr="00BA3656">
        <w:rPr>
          <w:rFonts w:ascii="標楷體" w:eastAsia="標楷體" w:hAnsi="標楷體"/>
          <w:color w:val="000000" w:themeColor="text1"/>
          <w:sz w:val="22"/>
          <w:szCs w:val="24"/>
        </w:rPr>
        <w:t>比率</w:t>
      </w:r>
      <w:r w:rsidRPr="00BA3656">
        <w:rPr>
          <w:rFonts w:ascii="標楷體" w:eastAsia="標楷體" w:hAnsi="標楷體" w:hint="eastAsia"/>
          <w:color w:val="000000" w:themeColor="text1"/>
          <w:sz w:val="22"/>
          <w:szCs w:val="24"/>
        </w:rPr>
        <w:t>=102年全年</w:t>
      </w:r>
      <w:r w:rsidRPr="00BA3656">
        <w:rPr>
          <w:rFonts w:ascii="標楷體" w:eastAsia="標楷體" w:hAnsi="標楷體"/>
          <w:color w:val="000000" w:themeColor="text1"/>
          <w:sz w:val="22"/>
          <w:szCs w:val="24"/>
        </w:rPr>
        <w:t>調</w:t>
      </w:r>
      <w:r w:rsidRPr="00BA3656">
        <w:rPr>
          <w:rFonts w:ascii="標楷體" w:eastAsia="標楷體" w:hAnsi="標楷體" w:hint="eastAsia"/>
          <w:color w:val="000000" w:themeColor="text1"/>
          <w:sz w:val="22"/>
          <w:szCs w:val="24"/>
        </w:rPr>
        <w:t>任</w:t>
      </w:r>
      <w:r w:rsidRPr="00BA3656">
        <w:rPr>
          <w:rFonts w:ascii="標楷體" w:eastAsia="標楷體" w:hAnsi="標楷體"/>
          <w:color w:val="000000" w:themeColor="text1"/>
          <w:sz w:val="22"/>
          <w:szCs w:val="24"/>
        </w:rPr>
        <w:t>其他</w:t>
      </w:r>
      <w:r w:rsidRPr="00BA3656">
        <w:rPr>
          <w:rFonts w:ascii="標楷體" w:eastAsia="標楷體" w:hAnsi="標楷體" w:hint="eastAsia"/>
          <w:color w:val="000000" w:themeColor="text1"/>
          <w:sz w:val="22"/>
          <w:szCs w:val="24"/>
        </w:rPr>
        <w:t>機關人數（不含近3年考試分發本單位人員）/</w:t>
      </w:r>
      <w:proofErr w:type="gramStart"/>
      <w:r w:rsidRPr="00BA3656">
        <w:rPr>
          <w:rFonts w:ascii="標楷體" w:eastAsia="標楷體" w:hAnsi="標楷體" w:hint="eastAsia"/>
          <w:color w:val="000000" w:themeColor="text1"/>
          <w:sz w:val="22"/>
          <w:szCs w:val="24"/>
        </w:rPr>
        <w:t>102</w:t>
      </w:r>
      <w:proofErr w:type="gramEnd"/>
      <w:r w:rsidRPr="00BA3656">
        <w:rPr>
          <w:rFonts w:ascii="標楷體" w:eastAsia="標楷體" w:hAnsi="標楷體" w:hint="eastAsia"/>
          <w:color w:val="000000" w:themeColor="text1"/>
          <w:sz w:val="22"/>
          <w:szCs w:val="24"/>
        </w:rPr>
        <w:t>年度預算員額（</w:t>
      </w:r>
      <w:proofErr w:type="gramStart"/>
      <w:r w:rsidRPr="00BA3656">
        <w:rPr>
          <w:rFonts w:ascii="標楷體" w:eastAsia="標楷體" w:hAnsi="標楷體" w:hint="eastAsia"/>
          <w:color w:val="000000" w:themeColor="text1"/>
          <w:sz w:val="22"/>
          <w:szCs w:val="24"/>
        </w:rPr>
        <w:t>103</w:t>
      </w:r>
      <w:proofErr w:type="gramEnd"/>
      <w:r w:rsidRPr="00BA3656">
        <w:rPr>
          <w:rFonts w:ascii="標楷體" w:eastAsia="標楷體" w:hAnsi="標楷體" w:hint="eastAsia"/>
          <w:color w:val="000000" w:themeColor="text1"/>
          <w:sz w:val="22"/>
          <w:szCs w:val="24"/>
        </w:rPr>
        <w:t>年度及</w:t>
      </w:r>
      <w:proofErr w:type="gramStart"/>
      <w:r w:rsidRPr="00BA3656">
        <w:rPr>
          <w:rFonts w:ascii="標楷體" w:eastAsia="標楷體" w:hAnsi="標楷體" w:hint="eastAsia"/>
          <w:color w:val="000000" w:themeColor="text1"/>
          <w:sz w:val="22"/>
          <w:szCs w:val="24"/>
        </w:rPr>
        <w:t>104</w:t>
      </w:r>
      <w:proofErr w:type="gramEnd"/>
      <w:r w:rsidRPr="00BA3656">
        <w:rPr>
          <w:rFonts w:ascii="標楷體" w:eastAsia="標楷體" w:hAnsi="標楷體" w:hint="eastAsia"/>
          <w:color w:val="000000" w:themeColor="text1"/>
          <w:sz w:val="22"/>
          <w:szCs w:val="24"/>
        </w:rPr>
        <w:t>年度以此類推後計算平均數）。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52749"/>
    <w:multiLevelType w:val="hybridMultilevel"/>
    <w:tmpl w:val="C72A2882"/>
    <w:lvl w:ilvl="0" w:tplc="228C9C26">
      <w:start w:val="1"/>
      <w:numFmt w:val="decimal"/>
      <w:lvlText w:val="%1."/>
      <w:lvlJc w:val="left"/>
      <w:pPr>
        <w:ind w:left="360" w:hanging="360"/>
      </w:pPr>
      <w:rPr>
        <w:rFonts w:asciiTheme="minorHAnsi" w:hAnsiTheme="minorHAnsi" w:hint="default"/>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331CF3"/>
    <w:multiLevelType w:val="hybridMultilevel"/>
    <w:tmpl w:val="76A29220"/>
    <w:lvl w:ilvl="0" w:tplc="E93A0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77674A"/>
    <w:multiLevelType w:val="hybridMultilevel"/>
    <w:tmpl w:val="B28E9306"/>
    <w:lvl w:ilvl="0" w:tplc="F72E56C4">
      <w:start w:val="1"/>
      <w:numFmt w:val="taiwaneseCountingThousand"/>
      <w:lvlText w:val="%1、"/>
      <w:lvlJc w:val="left"/>
      <w:pPr>
        <w:ind w:left="10340" w:hanging="1125"/>
      </w:pPr>
      <w:rPr>
        <w:rFonts w:hint="default"/>
        <w:lang w:val="en-US"/>
      </w:rPr>
    </w:lvl>
    <w:lvl w:ilvl="1" w:tplc="04090019" w:tentative="1">
      <w:start w:val="1"/>
      <w:numFmt w:val="ideographTraditional"/>
      <w:lvlText w:val="%2、"/>
      <w:lvlJc w:val="left"/>
      <w:pPr>
        <w:ind w:left="7473" w:hanging="480"/>
      </w:pPr>
    </w:lvl>
    <w:lvl w:ilvl="2" w:tplc="0409001B" w:tentative="1">
      <w:start w:val="1"/>
      <w:numFmt w:val="lowerRoman"/>
      <w:lvlText w:val="%3."/>
      <w:lvlJc w:val="right"/>
      <w:pPr>
        <w:ind w:left="7953" w:hanging="480"/>
      </w:pPr>
    </w:lvl>
    <w:lvl w:ilvl="3" w:tplc="0409000F" w:tentative="1">
      <w:start w:val="1"/>
      <w:numFmt w:val="decimal"/>
      <w:lvlText w:val="%4."/>
      <w:lvlJc w:val="left"/>
      <w:pPr>
        <w:ind w:left="8433" w:hanging="480"/>
      </w:pPr>
    </w:lvl>
    <w:lvl w:ilvl="4" w:tplc="04090019" w:tentative="1">
      <w:start w:val="1"/>
      <w:numFmt w:val="ideographTraditional"/>
      <w:lvlText w:val="%5、"/>
      <w:lvlJc w:val="left"/>
      <w:pPr>
        <w:ind w:left="8913" w:hanging="480"/>
      </w:pPr>
    </w:lvl>
    <w:lvl w:ilvl="5" w:tplc="0409001B" w:tentative="1">
      <w:start w:val="1"/>
      <w:numFmt w:val="lowerRoman"/>
      <w:lvlText w:val="%6."/>
      <w:lvlJc w:val="right"/>
      <w:pPr>
        <w:ind w:left="9393" w:hanging="480"/>
      </w:pPr>
    </w:lvl>
    <w:lvl w:ilvl="6" w:tplc="0409000F" w:tentative="1">
      <w:start w:val="1"/>
      <w:numFmt w:val="decimal"/>
      <w:lvlText w:val="%7."/>
      <w:lvlJc w:val="left"/>
      <w:pPr>
        <w:ind w:left="9873" w:hanging="480"/>
      </w:pPr>
    </w:lvl>
    <w:lvl w:ilvl="7" w:tplc="04090019" w:tentative="1">
      <w:start w:val="1"/>
      <w:numFmt w:val="ideographTraditional"/>
      <w:lvlText w:val="%8、"/>
      <w:lvlJc w:val="left"/>
      <w:pPr>
        <w:ind w:left="10353" w:hanging="480"/>
      </w:pPr>
    </w:lvl>
    <w:lvl w:ilvl="8" w:tplc="0409001B" w:tentative="1">
      <w:start w:val="1"/>
      <w:numFmt w:val="lowerRoman"/>
      <w:lvlText w:val="%9."/>
      <w:lvlJc w:val="right"/>
      <w:pPr>
        <w:ind w:left="10833"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FF"/>
    <w:rsid w:val="0000131C"/>
    <w:rsid w:val="00067D6F"/>
    <w:rsid w:val="000727D0"/>
    <w:rsid w:val="000852E3"/>
    <w:rsid w:val="000A7B83"/>
    <w:rsid w:val="00104D65"/>
    <w:rsid w:val="0011299E"/>
    <w:rsid w:val="00146B5C"/>
    <w:rsid w:val="00153177"/>
    <w:rsid w:val="00212800"/>
    <w:rsid w:val="002379BE"/>
    <w:rsid w:val="00255EB5"/>
    <w:rsid w:val="00302303"/>
    <w:rsid w:val="00387DF3"/>
    <w:rsid w:val="003A16ED"/>
    <w:rsid w:val="003B671F"/>
    <w:rsid w:val="003D2DD2"/>
    <w:rsid w:val="00451C6C"/>
    <w:rsid w:val="004536E3"/>
    <w:rsid w:val="00496961"/>
    <w:rsid w:val="004A71FF"/>
    <w:rsid w:val="004D501D"/>
    <w:rsid w:val="005A7313"/>
    <w:rsid w:val="0060268B"/>
    <w:rsid w:val="0065055C"/>
    <w:rsid w:val="00682428"/>
    <w:rsid w:val="006942D3"/>
    <w:rsid w:val="00697C7A"/>
    <w:rsid w:val="006E13EA"/>
    <w:rsid w:val="007736A7"/>
    <w:rsid w:val="00787198"/>
    <w:rsid w:val="007C790D"/>
    <w:rsid w:val="008A575B"/>
    <w:rsid w:val="008B678B"/>
    <w:rsid w:val="00972D4C"/>
    <w:rsid w:val="009C6CBF"/>
    <w:rsid w:val="00A03E65"/>
    <w:rsid w:val="00A17D07"/>
    <w:rsid w:val="00A70FE6"/>
    <w:rsid w:val="00AE7CB5"/>
    <w:rsid w:val="00B14983"/>
    <w:rsid w:val="00B71D95"/>
    <w:rsid w:val="00B76129"/>
    <w:rsid w:val="00B96B9B"/>
    <w:rsid w:val="00BA3656"/>
    <w:rsid w:val="00BB6C49"/>
    <w:rsid w:val="00BC492A"/>
    <w:rsid w:val="00CA505E"/>
    <w:rsid w:val="00CB3CAB"/>
    <w:rsid w:val="00CF4DD0"/>
    <w:rsid w:val="00D2151F"/>
    <w:rsid w:val="00D345F0"/>
    <w:rsid w:val="00D53C51"/>
    <w:rsid w:val="00D73063"/>
    <w:rsid w:val="00E14C92"/>
    <w:rsid w:val="00E422B2"/>
    <w:rsid w:val="00E84338"/>
    <w:rsid w:val="00EB0097"/>
    <w:rsid w:val="00EC29E3"/>
    <w:rsid w:val="00FE5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1FF"/>
    <w:pPr>
      <w:ind w:leftChars="200" w:left="480"/>
    </w:pPr>
    <w:rPr>
      <w:rFonts w:ascii="Times New Roman" w:eastAsia="新細明體" w:hAnsi="Times New Roman" w:cs="Times New Roman"/>
      <w:szCs w:val="24"/>
    </w:rPr>
  </w:style>
  <w:style w:type="paragraph" w:styleId="a4">
    <w:name w:val="footnote text"/>
    <w:basedOn w:val="a"/>
    <w:link w:val="a5"/>
    <w:uiPriority w:val="99"/>
    <w:semiHidden/>
    <w:unhideWhenUsed/>
    <w:rsid w:val="004A71FF"/>
    <w:pPr>
      <w:snapToGrid w:val="0"/>
    </w:pPr>
    <w:rPr>
      <w:sz w:val="20"/>
      <w:szCs w:val="20"/>
    </w:rPr>
  </w:style>
  <w:style w:type="character" w:customStyle="1" w:styleId="a5">
    <w:name w:val="註腳文字 字元"/>
    <w:basedOn w:val="a0"/>
    <w:link w:val="a4"/>
    <w:uiPriority w:val="99"/>
    <w:semiHidden/>
    <w:rsid w:val="004A71FF"/>
    <w:rPr>
      <w:sz w:val="20"/>
      <w:szCs w:val="20"/>
    </w:rPr>
  </w:style>
  <w:style w:type="character" w:styleId="a6">
    <w:name w:val="footnote reference"/>
    <w:basedOn w:val="a0"/>
    <w:uiPriority w:val="99"/>
    <w:semiHidden/>
    <w:unhideWhenUsed/>
    <w:rsid w:val="004A71FF"/>
    <w:rPr>
      <w:vertAlign w:val="superscript"/>
    </w:rPr>
  </w:style>
  <w:style w:type="paragraph" w:styleId="a7">
    <w:name w:val="header"/>
    <w:basedOn w:val="a"/>
    <w:link w:val="a8"/>
    <w:uiPriority w:val="99"/>
    <w:unhideWhenUsed/>
    <w:rsid w:val="004D501D"/>
    <w:pPr>
      <w:tabs>
        <w:tab w:val="center" w:pos="4153"/>
        <w:tab w:val="right" w:pos="8306"/>
      </w:tabs>
      <w:snapToGrid w:val="0"/>
    </w:pPr>
    <w:rPr>
      <w:sz w:val="20"/>
      <w:szCs w:val="20"/>
    </w:rPr>
  </w:style>
  <w:style w:type="character" w:customStyle="1" w:styleId="a8">
    <w:name w:val="頁首 字元"/>
    <w:basedOn w:val="a0"/>
    <w:link w:val="a7"/>
    <w:uiPriority w:val="99"/>
    <w:rsid w:val="004D501D"/>
    <w:rPr>
      <w:sz w:val="20"/>
      <w:szCs w:val="20"/>
    </w:rPr>
  </w:style>
  <w:style w:type="paragraph" w:styleId="a9">
    <w:name w:val="footer"/>
    <w:basedOn w:val="a"/>
    <w:link w:val="aa"/>
    <w:uiPriority w:val="99"/>
    <w:unhideWhenUsed/>
    <w:rsid w:val="004D501D"/>
    <w:pPr>
      <w:tabs>
        <w:tab w:val="center" w:pos="4153"/>
        <w:tab w:val="right" w:pos="8306"/>
      </w:tabs>
      <w:snapToGrid w:val="0"/>
    </w:pPr>
    <w:rPr>
      <w:sz w:val="20"/>
      <w:szCs w:val="20"/>
    </w:rPr>
  </w:style>
  <w:style w:type="character" w:customStyle="1" w:styleId="aa">
    <w:name w:val="頁尾 字元"/>
    <w:basedOn w:val="a0"/>
    <w:link w:val="a9"/>
    <w:uiPriority w:val="99"/>
    <w:rsid w:val="004D501D"/>
    <w:rPr>
      <w:sz w:val="20"/>
      <w:szCs w:val="20"/>
    </w:rPr>
  </w:style>
  <w:style w:type="paragraph" w:styleId="ab">
    <w:name w:val="Balloon Text"/>
    <w:basedOn w:val="a"/>
    <w:link w:val="ac"/>
    <w:uiPriority w:val="99"/>
    <w:semiHidden/>
    <w:unhideWhenUsed/>
    <w:rsid w:val="00B7612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761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1FF"/>
    <w:pPr>
      <w:ind w:leftChars="200" w:left="480"/>
    </w:pPr>
    <w:rPr>
      <w:rFonts w:ascii="Times New Roman" w:eastAsia="新細明體" w:hAnsi="Times New Roman" w:cs="Times New Roman"/>
      <w:szCs w:val="24"/>
    </w:rPr>
  </w:style>
  <w:style w:type="paragraph" w:styleId="a4">
    <w:name w:val="footnote text"/>
    <w:basedOn w:val="a"/>
    <w:link w:val="a5"/>
    <w:uiPriority w:val="99"/>
    <w:semiHidden/>
    <w:unhideWhenUsed/>
    <w:rsid w:val="004A71FF"/>
    <w:pPr>
      <w:snapToGrid w:val="0"/>
    </w:pPr>
    <w:rPr>
      <w:sz w:val="20"/>
      <w:szCs w:val="20"/>
    </w:rPr>
  </w:style>
  <w:style w:type="character" w:customStyle="1" w:styleId="a5">
    <w:name w:val="註腳文字 字元"/>
    <w:basedOn w:val="a0"/>
    <w:link w:val="a4"/>
    <w:uiPriority w:val="99"/>
    <w:semiHidden/>
    <w:rsid w:val="004A71FF"/>
    <w:rPr>
      <w:sz w:val="20"/>
      <w:szCs w:val="20"/>
    </w:rPr>
  </w:style>
  <w:style w:type="character" w:styleId="a6">
    <w:name w:val="footnote reference"/>
    <w:basedOn w:val="a0"/>
    <w:uiPriority w:val="99"/>
    <w:semiHidden/>
    <w:unhideWhenUsed/>
    <w:rsid w:val="004A71FF"/>
    <w:rPr>
      <w:vertAlign w:val="superscript"/>
    </w:rPr>
  </w:style>
  <w:style w:type="paragraph" w:styleId="a7">
    <w:name w:val="header"/>
    <w:basedOn w:val="a"/>
    <w:link w:val="a8"/>
    <w:uiPriority w:val="99"/>
    <w:unhideWhenUsed/>
    <w:rsid w:val="004D501D"/>
    <w:pPr>
      <w:tabs>
        <w:tab w:val="center" w:pos="4153"/>
        <w:tab w:val="right" w:pos="8306"/>
      </w:tabs>
      <w:snapToGrid w:val="0"/>
    </w:pPr>
    <w:rPr>
      <w:sz w:val="20"/>
      <w:szCs w:val="20"/>
    </w:rPr>
  </w:style>
  <w:style w:type="character" w:customStyle="1" w:styleId="a8">
    <w:name w:val="頁首 字元"/>
    <w:basedOn w:val="a0"/>
    <w:link w:val="a7"/>
    <w:uiPriority w:val="99"/>
    <w:rsid w:val="004D501D"/>
    <w:rPr>
      <w:sz w:val="20"/>
      <w:szCs w:val="20"/>
    </w:rPr>
  </w:style>
  <w:style w:type="paragraph" w:styleId="a9">
    <w:name w:val="footer"/>
    <w:basedOn w:val="a"/>
    <w:link w:val="aa"/>
    <w:uiPriority w:val="99"/>
    <w:unhideWhenUsed/>
    <w:rsid w:val="004D501D"/>
    <w:pPr>
      <w:tabs>
        <w:tab w:val="center" w:pos="4153"/>
        <w:tab w:val="right" w:pos="8306"/>
      </w:tabs>
      <w:snapToGrid w:val="0"/>
    </w:pPr>
    <w:rPr>
      <w:sz w:val="20"/>
      <w:szCs w:val="20"/>
    </w:rPr>
  </w:style>
  <w:style w:type="character" w:customStyle="1" w:styleId="aa">
    <w:name w:val="頁尾 字元"/>
    <w:basedOn w:val="a0"/>
    <w:link w:val="a9"/>
    <w:uiPriority w:val="99"/>
    <w:rsid w:val="004D501D"/>
    <w:rPr>
      <w:sz w:val="20"/>
      <w:szCs w:val="20"/>
    </w:rPr>
  </w:style>
  <w:style w:type="paragraph" w:styleId="ab">
    <w:name w:val="Balloon Text"/>
    <w:basedOn w:val="a"/>
    <w:link w:val="ac"/>
    <w:uiPriority w:val="99"/>
    <w:semiHidden/>
    <w:unhideWhenUsed/>
    <w:rsid w:val="00B7612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76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FF64-7A0F-43B7-A2A3-B3B87FF0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顏韶儀</dc:creator>
  <cp:lastModifiedBy>呂威毅</cp:lastModifiedBy>
  <cp:revision>3</cp:revision>
  <cp:lastPrinted>2016-05-12T06:23:00Z</cp:lastPrinted>
  <dcterms:created xsi:type="dcterms:W3CDTF">2016-06-28T06:53:00Z</dcterms:created>
  <dcterms:modified xsi:type="dcterms:W3CDTF">2016-07-11T09:45:00Z</dcterms:modified>
</cp:coreProperties>
</file>