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E" w:rsidRPr="00CF3A22" w:rsidRDefault="005873CE" w:rsidP="005873C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F3A22">
        <w:rPr>
          <w:rFonts w:ascii="標楷體" w:eastAsia="標楷體" w:hAnsi="標楷體" w:cs="新細明體" w:hint="eastAsia"/>
          <w:kern w:val="0"/>
          <w:szCs w:val="24"/>
        </w:rPr>
        <w:t>裁罰基準 (罰鍰單位為新臺幣) 如下：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143"/>
        <w:gridCol w:w="841"/>
        <w:gridCol w:w="2410"/>
        <w:gridCol w:w="2160"/>
        <w:gridCol w:w="3260"/>
      </w:tblGrid>
      <w:tr w:rsidR="005873CE" w:rsidRPr="00CF3A22" w:rsidTr="003C5FC1">
        <w:trPr>
          <w:trHeight w:val="870"/>
        </w:trPr>
        <w:tc>
          <w:tcPr>
            <w:tcW w:w="534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</w:t>
            </w:r>
          </w:p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法條</w:t>
            </w:r>
          </w:p>
        </w:tc>
        <w:tc>
          <w:tcPr>
            <w:tcW w:w="841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裁罰法條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違反事實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裁罰內容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處理程序</w:t>
            </w:r>
          </w:p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及裁罰基準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學校違反本法第十二條第一款、第三款或第四款規定。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本法第三十一條</w:t>
            </w:r>
            <w:r w:rsidRPr="00CF3A22"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學校將建</w:t>
            </w:r>
            <w:proofErr w:type="gramStart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教生送</w:t>
            </w:r>
            <w:proofErr w:type="gramEnd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至未經主管機關核准之建教合作機構接受職業技能訓練。</w:t>
            </w:r>
          </w:p>
          <w:p w:rsidR="005873CE" w:rsidRPr="00CF3A22" w:rsidRDefault="005873CE" w:rsidP="003C5FC1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在學校教學實施</w:t>
            </w:r>
            <w:proofErr w:type="gramStart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期間，</w:t>
            </w:r>
            <w:proofErr w:type="gramEnd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將建</w:t>
            </w:r>
            <w:proofErr w:type="gramStart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教生送至建</w:t>
            </w:r>
            <w:proofErr w:type="gramEnd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教合作機構接受職業技能訓練。</w:t>
            </w:r>
          </w:p>
          <w:p w:rsidR="005873CE" w:rsidRPr="00CF3A22" w:rsidRDefault="005873CE" w:rsidP="003C5FC1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因</w:t>
            </w:r>
            <w:proofErr w:type="gramStart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建教生依</w:t>
            </w:r>
            <w:proofErr w:type="gramEnd"/>
            <w:r w:rsidRPr="00CF3A22">
              <w:rPr>
                <w:rFonts w:ascii="標楷體" w:eastAsia="標楷體" w:hAnsi="標楷體" w:cs="細明體" w:hint="eastAsia"/>
                <w:sz w:val="24"/>
                <w:lang w:val="en-US" w:eastAsia="zh-TW"/>
              </w:rPr>
              <w:t>本法提出申訴或協調，而給予不利之差別待遇。</w:t>
            </w: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  <w:p w:rsidR="005873CE" w:rsidRPr="00CF3A22" w:rsidRDefault="005873CE" w:rsidP="003C5FC1">
            <w:pPr>
              <w:pStyle w:val="HTML"/>
              <w:tabs>
                <w:tab w:val="clear" w:pos="916"/>
                <w:tab w:val="left" w:pos="493"/>
              </w:tabs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得按次處罰。</w:t>
            </w:r>
          </w:p>
          <w:p w:rsidR="005873CE" w:rsidRPr="00CF3A22" w:rsidRDefault="005873CE" w:rsidP="003C5FC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情節重大者，得為減少下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二、第二次：十五萬元至二十五萬元。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四、第四次以上，屬情節重大，該科自下學年度停辦建教合作二年，並處以二十五萬元。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建教合作機構違反本法第十四條規定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本法第三十二條第一項第一款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建教合作機構招收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建教生超過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其所僱用勞工總數四分之一，或個別建教合作機構每期輪調人數低於二人。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建教合作機構有本法第十八條第一項所定行為。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本法第三十二條第一項第二款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一、建教合作機構</w:t>
            </w:r>
            <w:r w:rsidRPr="00CF3A22">
              <w:rPr>
                <w:rFonts w:ascii="標楷體" w:eastAsia="標楷體" w:hAnsi="標楷體" w:cs="細明體" w:hint="eastAsia"/>
                <w:kern w:val="0"/>
              </w:rPr>
              <w:t>要求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建教生應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負擔任何訓練費用。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二、要求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建教生應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繳納保證金。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三、訂定不符第十六條第一項第十款規定之膳宿、交通、生活津貼與其調整、給付方式及計算基準。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四、排除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建教生請求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lastRenderedPageBreak/>
              <w:t>損害賠償之權利或限制其金額。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五、超時訓練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建教生或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向其推銷產品。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六、要求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建教生提前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終止契約應賠償違約金。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七、於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建教生違反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工作規則時扣除生活津貼。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八、限制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建教生契約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終止後之就業自由。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九、</w:t>
            </w:r>
            <w:r w:rsidRPr="00CF3A22">
              <w:rPr>
                <w:rFonts w:ascii="標楷體" w:eastAsia="標楷體" w:hAnsi="標楷體" w:cs="新細明體" w:hint="eastAsia"/>
                <w:kern w:val="0"/>
              </w:rPr>
              <w:t>其他有關不當損及</w:t>
            </w:r>
            <w:proofErr w:type="gramStart"/>
            <w:r w:rsidRPr="00CF3A22">
              <w:rPr>
                <w:rFonts w:ascii="標楷體" w:eastAsia="標楷體" w:hAnsi="標楷體" w:cs="新細明體" w:hint="eastAsia"/>
                <w:kern w:val="0"/>
              </w:rPr>
              <w:t>建教生權益</w:t>
            </w:r>
            <w:proofErr w:type="gramEnd"/>
            <w:r w:rsidRPr="00CF3A22">
              <w:rPr>
                <w:rFonts w:ascii="標楷體" w:eastAsia="標楷體" w:hAnsi="標楷體" w:cs="新細明體" w:hint="eastAsia"/>
                <w:kern w:val="0"/>
              </w:rPr>
              <w:t>之行為。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建教合作機構未履行本法第二十一條第一項第一款至第三款、第五款或第七款規定保障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建教生權益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之義務。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本法第三十二條第一項第三款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一、建教合作機構</w:t>
            </w:r>
            <w:r w:rsidRPr="00CF3A22">
              <w:rPr>
                <w:rFonts w:ascii="標楷體" w:eastAsia="標楷體" w:hAnsi="標楷體" w:cs="細明體" w:hint="eastAsia"/>
                <w:kern w:val="0"/>
              </w:rPr>
              <w:t>未依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建教生訓練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契約，提供良好之訓練環境，安排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建教生至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相關部門接</w:t>
            </w:r>
            <w:r w:rsidRPr="00CF3A22">
              <w:rPr>
                <w:rFonts w:ascii="標楷體" w:eastAsia="標楷體" w:hAnsi="標楷體" w:cs="新細明體" w:hint="eastAsia"/>
                <w:kern w:val="0"/>
              </w:rPr>
              <w:t>受職業技能訓練，並培養優良之工作態度、安全認知及職業道德。</w:t>
            </w:r>
          </w:p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二</w:t>
            </w:r>
            <w:r w:rsidRPr="00CF3A22">
              <w:rPr>
                <w:rFonts w:ascii="標楷體" w:eastAsia="標楷體" w:hAnsi="標楷體" w:cs="新細明體" w:hint="eastAsia"/>
              </w:rPr>
              <w:t>、</w:t>
            </w:r>
            <w:r w:rsidRPr="00CF3A22">
              <w:rPr>
                <w:rFonts w:ascii="標楷體" w:eastAsia="標楷體" w:hAnsi="標楷體"/>
              </w:rPr>
              <w:t>訓練活動應與</w:t>
            </w:r>
            <w:proofErr w:type="gramStart"/>
            <w:r w:rsidRPr="00CF3A22">
              <w:rPr>
                <w:rFonts w:ascii="標楷體" w:eastAsia="標楷體" w:hAnsi="標楷體"/>
              </w:rPr>
              <w:t>建教生所</w:t>
            </w:r>
            <w:proofErr w:type="gramEnd"/>
            <w:r w:rsidRPr="00CF3A22">
              <w:rPr>
                <w:rFonts w:ascii="標楷體" w:eastAsia="標楷體" w:hAnsi="標楷體"/>
              </w:rPr>
              <w:t>學職業科別</w:t>
            </w:r>
            <w:r w:rsidRPr="00CF3A22">
              <w:rPr>
                <w:rFonts w:ascii="標楷體" w:eastAsia="標楷體" w:hAnsi="標楷體" w:hint="eastAsia"/>
              </w:rPr>
              <w:t>不</w:t>
            </w:r>
            <w:r w:rsidRPr="00CF3A22">
              <w:rPr>
                <w:rFonts w:ascii="標楷體" w:eastAsia="標楷體" w:hAnsi="標楷體"/>
              </w:rPr>
              <w:t>相關，並</w:t>
            </w:r>
            <w:r w:rsidRPr="00CF3A22">
              <w:rPr>
                <w:rFonts w:ascii="標楷體" w:eastAsia="標楷體" w:hAnsi="標楷體" w:hint="eastAsia"/>
              </w:rPr>
              <w:t>未</w:t>
            </w:r>
            <w:r w:rsidRPr="00CF3A22">
              <w:rPr>
                <w:rFonts w:ascii="標楷體" w:eastAsia="標楷體" w:hAnsi="標楷體"/>
              </w:rPr>
              <w:t>注意</w:t>
            </w:r>
            <w:proofErr w:type="gramStart"/>
            <w:r w:rsidRPr="00CF3A22">
              <w:rPr>
                <w:rFonts w:ascii="標楷體" w:eastAsia="標楷體" w:hAnsi="標楷體"/>
              </w:rPr>
              <w:t>建教生之</w:t>
            </w:r>
            <w:proofErr w:type="gramEnd"/>
            <w:r w:rsidRPr="00CF3A22">
              <w:rPr>
                <w:rFonts w:ascii="標楷體" w:eastAsia="標楷體" w:hAnsi="標楷體"/>
              </w:rPr>
              <w:t>身心健康</w:t>
            </w:r>
            <w:r w:rsidRPr="00CF3A22">
              <w:rPr>
                <w:rFonts w:ascii="標楷體" w:eastAsia="標楷體" w:hAnsi="標楷體" w:hint="eastAsia"/>
              </w:rPr>
              <w:t>。</w:t>
            </w:r>
          </w:p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細明體" w:hint="eastAsia"/>
                <w:kern w:val="0"/>
              </w:rPr>
              <w:t>三</w:t>
            </w:r>
            <w:r w:rsidRPr="00CF3A22">
              <w:rPr>
                <w:rFonts w:ascii="標楷體" w:eastAsia="標楷體" w:hAnsi="標楷體" w:cs="新細明體" w:hint="eastAsia"/>
              </w:rPr>
              <w:t>、</w:t>
            </w:r>
            <w:r w:rsidRPr="00CF3A22">
              <w:rPr>
                <w:rFonts w:ascii="標楷體" w:eastAsia="標楷體" w:hAnsi="標楷體" w:cs="細明體" w:hint="eastAsia"/>
                <w:kern w:val="0"/>
              </w:rPr>
              <w:t>未於建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教生受訓期間，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依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建教生職業</w:t>
            </w:r>
            <w:proofErr w:type="gramEnd"/>
            <w:r w:rsidRPr="00CF3A22">
              <w:rPr>
                <w:rFonts w:ascii="標楷體" w:eastAsia="標楷體" w:hAnsi="標楷體" w:cs="細明體" w:hint="eastAsia"/>
                <w:kern w:val="0"/>
              </w:rPr>
              <w:t>技能訓練計畫，指派專人負責</w:t>
            </w:r>
            <w:proofErr w:type="gramStart"/>
            <w:r w:rsidRPr="00CF3A22">
              <w:rPr>
                <w:rFonts w:ascii="標楷體" w:eastAsia="標楷體" w:hAnsi="標楷體" w:cs="細明體" w:hint="eastAsia"/>
                <w:kern w:val="0"/>
              </w:rPr>
              <w:t>建</w:t>
            </w:r>
            <w:r w:rsidRPr="00CF3A22">
              <w:rPr>
                <w:rFonts w:ascii="標楷體" w:eastAsia="標楷體" w:hAnsi="標楷體" w:cs="新細明體" w:hint="eastAsia"/>
                <w:kern w:val="0"/>
              </w:rPr>
              <w:t>教生之</w:t>
            </w:r>
            <w:proofErr w:type="gramEnd"/>
            <w:r w:rsidRPr="00CF3A22">
              <w:rPr>
                <w:rFonts w:ascii="標楷體" w:eastAsia="標楷體" w:hAnsi="標楷體" w:cs="新細明體" w:hint="eastAsia"/>
                <w:kern w:val="0"/>
              </w:rPr>
              <w:t>職業技能訓練及生活輔導。</w:t>
            </w:r>
          </w:p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四</w:t>
            </w:r>
            <w:r w:rsidRPr="00CF3A22">
              <w:rPr>
                <w:rFonts w:ascii="標楷體" w:eastAsia="標楷體" w:hAnsi="標楷體" w:cs="新細明體" w:hint="eastAsia"/>
              </w:rPr>
              <w:t>、</w:t>
            </w:r>
            <w:r w:rsidRPr="00CF3A22">
              <w:rPr>
                <w:rFonts w:ascii="標楷體" w:eastAsia="標楷體" w:hAnsi="標楷體" w:hint="eastAsia"/>
              </w:rPr>
              <w:t>未考量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建教生之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學習表現及年資，逐年增加生活津貼之金額。</w:t>
            </w:r>
          </w:p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五</w:t>
            </w:r>
            <w:r w:rsidRPr="00CF3A22">
              <w:rPr>
                <w:rFonts w:ascii="標楷體" w:eastAsia="標楷體" w:hAnsi="標楷體" w:cs="新細明體" w:hint="eastAsia"/>
              </w:rPr>
              <w:t>、</w:t>
            </w:r>
            <w:r w:rsidRPr="00CF3A22">
              <w:rPr>
                <w:rFonts w:ascii="標楷體" w:eastAsia="標楷體" w:hAnsi="標楷體" w:hint="eastAsia"/>
              </w:rPr>
              <w:t>未置備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建教生簽到簿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或出勤卡，逐日記載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建教生訓練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情形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或此項簿卡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未保存一年。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違反本法第二十二條規定。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本法第三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十二條第一項第四款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建教合作機構未依約給付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建教生生活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津貼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並提供明細表；或給付生活津貼低於勞動基準法所定基本工資；或未以法定通用貨幣給付生活津貼；或未按月全額直接給付生活津貼或預扣生活津貼。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一、處五萬元至二十五萬元罰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建教合作機構未依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第二十三條規定。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本法第三十二條第一項第五款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建教合作機構未依規定繳納保證金。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strike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第二十四條規定。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本法第三十二條第一項第六款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建教合作機構未依規定安排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建教生之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受訓及休息時間。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第二十五條第一項、第二項規定。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本法第三十二條第一項第七款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建教合作機構未依規定給予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建教生補償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第二十六條第一項、第二項規定。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本法第三十二條第一項第八款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建教合作機構違反規定，給予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建教生不利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之差別待遇。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第二十七條第一項規定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本法第三十二條第一項第九款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建教合作機構違反規定，給予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建教生差別待遇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、未防治性騷擾行為之發生或未採取立即有效之糾正及補救措施。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一、第一次：五萬元至二十萬元。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學校與建教合作機構違反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第十五條規定。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本法第三十三條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</w:t>
            </w:r>
            <w:r w:rsidRPr="00CF3A22">
              <w:rPr>
                <w:rFonts w:ascii="標楷體" w:eastAsia="標楷體" w:hAnsi="標楷體" w:hint="eastAsia"/>
              </w:rPr>
              <w:t>違反規定，約定支付任何名義之報酬或回饋予對方。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一、處五萬元至二十五萬元罰鍰。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一、第一次：五萬元至十五萬元。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二、第二次：十五萬元至二十五萬元。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三、第三次：二十五萬元。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第十條第二項規定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第三十四條第一款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</w:t>
            </w:r>
            <w:r w:rsidRPr="00CF3A22">
              <w:rPr>
                <w:rFonts w:ascii="標楷體" w:eastAsia="標楷體" w:hAnsi="標楷體" w:hint="eastAsia"/>
              </w:rPr>
              <w:t>未依規定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採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計職業技能訓練學分之學分數，經限期改善，屆期未改善者。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第十一條第一項第一款規定或第二項規定。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第三十四條第二款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</w:t>
            </w:r>
            <w:r w:rsidRPr="00CF3A22">
              <w:rPr>
                <w:rFonts w:ascii="標楷體" w:eastAsia="標楷體" w:hAnsi="標楷體" w:hint="eastAsia"/>
              </w:rPr>
              <w:t>未依規定或時數，於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建教生進入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建教合作機構接受職業技能訓練前，提供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建教生基礎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或職前訓練，經限期改善，屆期未改善。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學校違反本法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第十一條第一項第二款規定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本法</w:t>
            </w:r>
            <w:r w:rsidRPr="00CF3A22">
              <w:rPr>
                <w:rFonts w:ascii="標楷體" w:eastAsia="標楷體" w:hAnsi="標楷體" w:hint="eastAsia"/>
              </w:rPr>
              <w:t>第三</w:t>
            </w:r>
            <w:r w:rsidRPr="00CF3A22">
              <w:rPr>
                <w:rFonts w:ascii="標楷體" w:eastAsia="標楷體" w:hAnsi="標楷體" w:hint="eastAsia"/>
              </w:rPr>
              <w:lastRenderedPageBreak/>
              <w:t>十四條第三款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學校未依規定，於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建教生進入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建教合作機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構接受職業技能訓練前，邀請建教合作機構共同舉辦說明會</w:t>
            </w:r>
            <w:r w:rsidRPr="00CF3A22">
              <w:rPr>
                <w:rFonts w:ascii="標楷體" w:eastAsia="標楷體" w:hAnsi="標楷體" w:hint="eastAsia"/>
              </w:rPr>
              <w:t>，經限期改善，屆期未改善。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一、經限期改善，屆期未改善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第十二條第二款規定。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第三十四條第四款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</w:t>
            </w:r>
            <w:r w:rsidRPr="00CF3A22">
              <w:rPr>
                <w:rFonts w:ascii="標楷體" w:eastAsia="標楷體" w:hAnsi="標楷體" w:hint="eastAsia"/>
              </w:rPr>
              <w:t>違反規定，無正當理由自建教合作機構召回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，經限期改善，屆期未改善。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第十三條第一項或第三項規定。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第三十四條第五款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學校</w:t>
            </w:r>
            <w:r w:rsidRPr="00CF3A22">
              <w:rPr>
                <w:rFonts w:ascii="標楷體" w:eastAsia="標楷體" w:hAnsi="標楷體" w:hint="eastAsia"/>
              </w:rPr>
              <w:t>未依規定，指派教師訪視建教合作機構、要求建教合作機構改進、為適當之追蹤處理及詳予記錄，經限期改善，屆期未改善者。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第二十條第二項規定。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第三十四條第六款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學校未依規定召開協調會及作成會議紀錄報主管機關備查，經限期改善，屆期未改善。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二、其情節重大    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經限期改善，屆期未改善者，依違規次數，處罰如下：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hint="eastAsia"/>
              </w:rPr>
              <w:t>學校違反</w:t>
            </w: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第二十五條第四項規定。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第三十四條第七款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</w:rPr>
              <w:t>學校未依規定主動協助</w:t>
            </w:r>
            <w:proofErr w:type="gramStart"/>
            <w:r w:rsidRPr="00CF3A22">
              <w:rPr>
                <w:rFonts w:ascii="標楷體" w:eastAsia="標楷體" w:hAnsi="標楷體" w:hint="eastAsia"/>
              </w:rPr>
              <w:t>建教生請求</w:t>
            </w:r>
            <w:proofErr w:type="gramEnd"/>
            <w:r w:rsidRPr="00CF3A22">
              <w:rPr>
                <w:rFonts w:ascii="標楷體" w:eastAsia="標楷體" w:hAnsi="標楷體" w:hint="eastAsia"/>
              </w:rPr>
              <w:t>補償或申請補助，經限期改善，屆期未改善者。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一、經限期改善，屆期未改善者，處一萬元至五萬元罰鍰。並得按次處罰。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二、其情節重大    者，得為減少下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學年度建教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合作之招收人數、停止部分建教合作班級之招生或停辦建教合作一年至二年之處分。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經限期改善，屆期未改善者，依違規次數，按次處罰如下：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四、第四次以上，屬情節重大，依下列規定辦理：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 xml:space="preserve"> (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)第四次:五萬元，該科自下學年度停辦建教合作一年。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Chars="50" w:left="60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(二)第五次:五萬元，該科自下學年度停辦建教合作二年。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建教合作機構違反本法第十七條第一項規定。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第三十五條第一款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建教合作機構未依規定將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建教生訓練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契約報主管機關備查。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一、處一萬元至五萬元罰鍰。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建教合作機構違反本法第十九條第一項規定。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第三十五條第二款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建教合作機構未依規定於知悉發生可歸責於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建教生之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終止契約事由之日起算三日內，協調學校加強輔導該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，而直接以該事由終止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建教生訓練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契約。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一、處一萬元至五萬元罰鍰。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建教合作機構違反本法第二十條第二項規定。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第三十五條第三款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建教合作機構未依規定依協調會決議確實執行。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一、處一萬元至五萬元罰鍰。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</w:t>
            </w:r>
            <w:r w:rsidRPr="00CF3A22">
              <w:rPr>
                <w:rFonts w:ascii="標楷體" w:eastAsia="標楷體" w:hAnsi="標楷體" w:cs="新細明體" w:hint="eastAsia"/>
              </w:rPr>
              <w:lastRenderedPageBreak/>
              <w:t>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lastRenderedPageBreak/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建教合作機構違反本法第二十八條第一項或第二項規定。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</w:t>
            </w:r>
            <w:r w:rsidRPr="00CF3A22">
              <w:rPr>
                <w:rFonts w:ascii="標楷體" w:eastAsia="標楷體" w:hAnsi="標楷體" w:hint="eastAsia"/>
              </w:rPr>
              <w:t>第三十五條第四款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建教合作機構違反規定，未發給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建教生書面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訓練證明或未於訓練證明中載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明建教生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之訓練職類、訓練期間及訓練時數。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一、處一萬元至五萬元罰鍰。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二、得按次處罰。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三、經處罰二次仍未改善者，三年內不得參與建教合作，並公布其名稱及負責人姓名。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三、第三次：五萬元，三年內不得參與建教合作，並公布其名稱及負責人姓名。</w:t>
            </w:r>
          </w:p>
        </w:tc>
      </w:tr>
      <w:tr w:rsidR="005873CE" w:rsidRPr="00CF3A22" w:rsidTr="003C5FC1">
        <w:tc>
          <w:tcPr>
            <w:tcW w:w="534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43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建教合作機構違反本法第二十一條第一項第四款規定。</w:t>
            </w:r>
          </w:p>
        </w:tc>
        <w:tc>
          <w:tcPr>
            <w:tcW w:w="841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本法第三十六條</w:t>
            </w:r>
          </w:p>
        </w:tc>
        <w:tc>
          <w:tcPr>
            <w:tcW w:w="2410" w:type="dxa"/>
          </w:tcPr>
          <w:p w:rsidR="005873CE" w:rsidRPr="00CF3A22" w:rsidRDefault="005873CE" w:rsidP="003C5FC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建教合作機構違反規定，於安排職業技能訓練時，影響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建教生到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校上課</w:t>
            </w:r>
            <w:proofErr w:type="gramStart"/>
            <w:r w:rsidRPr="00CF3A22">
              <w:rPr>
                <w:rFonts w:ascii="標楷體" w:eastAsia="標楷體" w:hAnsi="標楷體" w:cs="新細明體" w:hint="eastAsia"/>
              </w:rPr>
              <w:t>或至建教</w:t>
            </w:r>
            <w:proofErr w:type="gramEnd"/>
            <w:r w:rsidRPr="00CF3A22">
              <w:rPr>
                <w:rFonts w:ascii="標楷體" w:eastAsia="標楷體" w:hAnsi="標楷體" w:cs="新細明體" w:hint="eastAsia"/>
              </w:rPr>
              <w:t>合作機構以外場所進行觀摩受訓之權益。</w:t>
            </w:r>
          </w:p>
        </w:tc>
        <w:tc>
          <w:tcPr>
            <w:tcW w:w="21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處一萬元至五萬元罰鍰。</w:t>
            </w:r>
          </w:p>
        </w:tc>
        <w:tc>
          <w:tcPr>
            <w:tcW w:w="3260" w:type="dxa"/>
          </w:tcPr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依違規次數，按次處罰如下：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一、第一次：一萬元至三萬元。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二、第二次：三萬元至五萬元。</w:t>
            </w:r>
          </w:p>
          <w:p w:rsidR="005873CE" w:rsidRPr="00CF3A22" w:rsidRDefault="005873CE" w:rsidP="003C5FC1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F3A22">
              <w:rPr>
                <w:rFonts w:ascii="標楷體" w:eastAsia="標楷體" w:hAnsi="標楷體" w:cs="新細明體" w:hint="eastAsia"/>
              </w:rPr>
              <w:t>三、第三次：五萬元。</w:t>
            </w:r>
          </w:p>
        </w:tc>
      </w:tr>
    </w:tbl>
    <w:p w:rsidR="005873CE" w:rsidRPr="005873CE" w:rsidRDefault="005873CE" w:rsidP="00D92F36">
      <w:pPr>
        <w:widowControl/>
      </w:pPr>
    </w:p>
    <w:sectPr w:rsidR="005873CE" w:rsidRPr="005873CE" w:rsidSect="00587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15" w:rsidRDefault="00810F15" w:rsidP="00D92F36">
      <w:r>
        <w:separator/>
      </w:r>
    </w:p>
  </w:endnote>
  <w:endnote w:type="continuationSeparator" w:id="0">
    <w:p w:rsidR="00810F15" w:rsidRDefault="00810F15" w:rsidP="00D9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15" w:rsidRDefault="00810F15" w:rsidP="00D92F36">
      <w:r>
        <w:separator/>
      </w:r>
    </w:p>
  </w:footnote>
  <w:footnote w:type="continuationSeparator" w:id="0">
    <w:p w:rsidR="00810F15" w:rsidRDefault="00810F15" w:rsidP="00D92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52F"/>
    <w:multiLevelType w:val="hybridMultilevel"/>
    <w:tmpl w:val="AED21B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C1C03"/>
    <w:multiLevelType w:val="hybridMultilevel"/>
    <w:tmpl w:val="95FEBBCC"/>
    <w:lvl w:ilvl="0" w:tplc="A5A2AF6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3CE"/>
    <w:rsid w:val="004F40E4"/>
    <w:rsid w:val="00582FF9"/>
    <w:rsid w:val="005873CE"/>
    <w:rsid w:val="00810F15"/>
    <w:rsid w:val="00C45040"/>
    <w:rsid w:val="00D92F36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5873CE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587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/>
    </w:rPr>
  </w:style>
  <w:style w:type="character" w:customStyle="1" w:styleId="HTML0">
    <w:name w:val="HTML 預設格式 字元"/>
    <w:basedOn w:val="a0"/>
    <w:link w:val="HTML"/>
    <w:uiPriority w:val="99"/>
    <w:rsid w:val="005873CE"/>
    <w:rPr>
      <w:rFonts w:ascii="細明體" w:eastAsia="細明體" w:hAnsi="細明體" w:cs="Times New Roman"/>
      <w:kern w:val="0"/>
      <w:sz w:val="20"/>
      <w:szCs w:val="24"/>
      <w:lang/>
    </w:rPr>
  </w:style>
  <w:style w:type="paragraph" w:styleId="a3">
    <w:name w:val="header"/>
    <w:basedOn w:val="a"/>
    <w:link w:val="a4"/>
    <w:uiPriority w:val="99"/>
    <w:semiHidden/>
    <w:unhideWhenUsed/>
    <w:rsid w:val="00D9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2F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2F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5873CE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587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873CE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張惠真</dc:creator>
  <cp:lastModifiedBy>ww</cp:lastModifiedBy>
  <cp:revision>4</cp:revision>
  <dcterms:created xsi:type="dcterms:W3CDTF">2014-07-04T00:59:00Z</dcterms:created>
  <dcterms:modified xsi:type="dcterms:W3CDTF">2014-07-25T04:31:00Z</dcterms:modified>
</cp:coreProperties>
</file>